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5CD" w:rsidRDefault="007525CD" w:rsidP="007525CD">
      <w:pPr>
        <w:spacing w:after="120"/>
        <w:jc w:val="center"/>
        <w:rPr>
          <w:b/>
          <w:bCs/>
          <w:szCs w:val="22"/>
        </w:rPr>
      </w:pPr>
      <w:r>
        <w:rPr>
          <w:b/>
          <w:szCs w:val="22"/>
        </w:rPr>
        <w:t xml:space="preserve">ZMLUVA O ZDRUŽENEJ DODÁVKE ELEKTRINY </w:t>
      </w:r>
    </w:p>
    <w:p w:rsidR="007525CD" w:rsidRDefault="007525CD" w:rsidP="007525CD">
      <w:pPr>
        <w:rPr>
          <w:bCs/>
          <w:szCs w:val="22"/>
        </w:rPr>
      </w:pPr>
      <w:r>
        <w:rPr>
          <w:szCs w:val="22"/>
        </w:rPr>
        <w:t xml:space="preserve">Táto zmluva o združenej dodávke elektriny je uzavretá podľa § 269 ods. 2 zákona č. 513/1991 Zb. Obchodný zákonník v platnom znení, </w:t>
      </w:r>
      <w:r>
        <w:rPr>
          <w:bCs/>
          <w:szCs w:val="22"/>
        </w:rPr>
        <w:t>medzi:</w:t>
      </w:r>
    </w:p>
    <w:p w:rsidR="007525CD" w:rsidRDefault="007525CD" w:rsidP="007525CD">
      <w:pPr>
        <w:spacing w:before="0"/>
        <w:jc w:val="left"/>
        <w:rPr>
          <w:szCs w:val="22"/>
        </w:rPr>
      </w:pPr>
    </w:p>
    <w:tbl>
      <w:tblPr>
        <w:tblStyle w:val="Mriekatabuky"/>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515"/>
      </w:tblGrid>
      <w:tr w:rsidR="007525CD" w:rsidTr="007525CD">
        <w:trPr>
          <w:trHeight w:val="284"/>
        </w:trPr>
        <w:tc>
          <w:tcPr>
            <w:tcW w:w="2405" w:type="dxa"/>
            <w:hideMark/>
          </w:tcPr>
          <w:p w:rsidR="007525CD" w:rsidRPr="00962E74" w:rsidRDefault="007525CD">
            <w:pPr>
              <w:pStyle w:val="Zkladntext2"/>
              <w:shd w:val="clear" w:color="auto" w:fill="auto"/>
              <w:spacing w:line="240" w:lineRule="auto"/>
              <w:ind w:left="34" w:right="142" w:firstLine="0"/>
              <w:jc w:val="left"/>
              <w:rPr>
                <w:rFonts w:ascii="Times New Roman" w:hAnsi="Times New Roman" w:cs="Times New Roman"/>
                <w:sz w:val="22"/>
                <w:szCs w:val="22"/>
              </w:rPr>
            </w:pPr>
            <w:r w:rsidRPr="00962E74">
              <w:rPr>
                <w:rFonts w:ascii="Times New Roman" w:hAnsi="Times New Roman" w:cs="Times New Roman"/>
                <w:sz w:val="22"/>
                <w:szCs w:val="22"/>
              </w:rPr>
              <w:t>Obchodné meno:</w:t>
            </w:r>
          </w:p>
        </w:tc>
        <w:tc>
          <w:tcPr>
            <w:tcW w:w="6515" w:type="dxa"/>
            <w:hideMark/>
          </w:tcPr>
          <w:p w:rsidR="007525CD" w:rsidRPr="00962E74" w:rsidRDefault="00513A38">
            <w:pPr>
              <w:pStyle w:val="Zkladntext2"/>
              <w:shd w:val="clear" w:color="auto" w:fill="auto"/>
              <w:spacing w:line="240" w:lineRule="auto"/>
              <w:ind w:right="142" w:firstLine="0"/>
              <w:jc w:val="left"/>
              <w:rPr>
                <w:rFonts w:ascii="Times New Roman" w:hAnsi="Times New Roman" w:cs="Times New Roman"/>
                <w:b/>
                <w:sz w:val="22"/>
                <w:szCs w:val="22"/>
              </w:rPr>
            </w:pPr>
            <w:r>
              <w:rPr>
                <w:rFonts w:ascii="Times New Roman" w:hAnsi="Times New Roman" w:cs="Times New Roman"/>
                <w:b/>
                <w:sz w:val="22"/>
                <w:szCs w:val="22"/>
              </w:rPr>
              <w:t>AKZ</w:t>
            </w:r>
            <w:r w:rsidR="007525CD" w:rsidRPr="00962E74">
              <w:rPr>
                <w:rFonts w:ascii="Times New Roman" w:hAnsi="Times New Roman" w:cs="Times New Roman"/>
                <w:b/>
                <w:sz w:val="22"/>
                <w:szCs w:val="22"/>
              </w:rPr>
              <w:t xml:space="preserve"> INFRA, s.r.o.</w:t>
            </w:r>
          </w:p>
        </w:tc>
      </w:tr>
      <w:tr w:rsidR="007525CD" w:rsidTr="007525CD">
        <w:trPr>
          <w:trHeight w:val="284"/>
        </w:trPr>
        <w:tc>
          <w:tcPr>
            <w:tcW w:w="2405" w:type="dxa"/>
            <w:hideMark/>
          </w:tcPr>
          <w:p w:rsidR="007525CD" w:rsidRPr="00962E74" w:rsidRDefault="007525CD">
            <w:pPr>
              <w:pStyle w:val="Zkladntext2"/>
              <w:shd w:val="clear" w:color="auto" w:fill="auto"/>
              <w:spacing w:line="240" w:lineRule="auto"/>
              <w:ind w:left="34" w:right="142" w:firstLine="0"/>
              <w:jc w:val="left"/>
              <w:rPr>
                <w:rFonts w:ascii="Times New Roman" w:hAnsi="Times New Roman" w:cs="Times New Roman"/>
                <w:sz w:val="22"/>
                <w:szCs w:val="22"/>
              </w:rPr>
            </w:pPr>
            <w:r w:rsidRPr="00962E74">
              <w:rPr>
                <w:rFonts w:ascii="Times New Roman" w:hAnsi="Times New Roman" w:cs="Times New Roman"/>
                <w:sz w:val="22"/>
                <w:szCs w:val="22"/>
              </w:rPr>
              <w:t>Sídlo:</w:t>
            </w:r>
          </w:p>
        </w:tc>
        <w:tc>
          <w:tcPr>
            <w:tcW w:w="6515" w:type="dxa"/>
            <w:hideMark/>
          </w:tcPr>
          <w:p w:rsidR="007525CD" w:rsidRPr="00962E74" w:rsidRDefault="00513A38">
            <w:pPr>
              <w:pStyle w:val="Zkladntext2"/>
              <w:shd w:val="clear" w:color="auto" w:fill="auto"/>
              <w:spacing w:line="240" w:lineRule="auto"/>
              <w:ind w:right="142" w:firstLine="0"/>
              <w:jc w:val="left"/>
              <w:rPr>
                <w:rFonts w:ascii="Times New Roman" w:hAnsi="Times New Roman" w:cs="Times New Roman"/>
                <w:sz w:val="22"/>
                <w:szCs w:val="22"/>
              </w:rPr>
            </w:pPr>
            <w:r>
              <w:rPr>
                <w:rFonts w:ascii="Times New Roman" w:hAnsi="Times New Roman" w:cs="Times New Roman"/>
                <w:sz w:val="22"/>
                <w:szCs w:val="22"/>
              </w:rPr>
              <w:t>Mýtna 48</w:t>
            </w:r>
            <w:r w:rsidR="007525CD" w:rsidRPr="00962E74">
              <w:rPr>
                <w:rFonts w:ascii="Times New Roman" w:hAnsi="Times New Roman" w:cs="Times New Roman"/>
                <w:sz w:val="22"/>
                <w:szCs w:val="22"/>
              </w:rPr>
              <w:t>, 811 0</w:t>
            </w:r>
            <w:r>
              <w:rPr>
                <w:rFonts w:ascii="Times New Roman" w:hAnsi="Times New Roman" w:cs="Times New Roman"/>
                <w:sz w:val="22"/>
                <w:szCs w:val="22"/>
              </w:rPr>
              <w:t>7</w:t>
            </w:r>
            <w:r w:rsidR="007525CD" w:rsidRPr="00962E74">
              <w:rPr>
                <w:rFonts w:ascii="Times New Roman" w:hAnsi="Times New Roman" w:cs="Times New Roman"/>
                <w:sz w:val="22"/>
                <w:szCs w:val="22"/>
              </w:rPr>
              <w:t xml:space="preserve"> Bratislava</w:t>
            </w:r>
          </w:p>
        </w:tc>
      </w:tr>
      <w:tr w:rsidR="007525CD" w:rsidTr="007525CD">
        <w:trPr>
          <w:trHeight w:val="284"/>
        </w:trPr>
        <w:tc>
          <w:tcPr>
            <w:tcW w:w="2405" w:type="dxa"/>
            <w:hideMark/>
          </w:tcPr>
          <w:p w:rsidR="007525CD" w:rsidRPr="00962E74" w:rsidRDefault="007525CD">
            <w:pPr>
              <w:pStyle w:val="Zkladntext2"/>
              <w:shd w:val="clear" w:color="auto" w:fill="auto"/>
              <w:spacing w:line="240" w:lineRule="auto"/>
              <w:ind w:left="34" w:right="142" w:firstLine="0"/>
              <w:jc w:val="left"/>
              <w:rPr>
                <w:rFonts w:ascii="Times New Roman" w:hAnsi="Times New Roman" w:cs="Times New Roman"/>
                <w:sz w:val="22"/>
                <w:szCs w:val="22"/>
              </w:rPr>
            </w:pPr>
            <w:r w:rsidRPr="00962E74">
              <w:rPr>
                <w:rFonts w:ascii="Times New Roman" w:hAnsi="Times New Roman" w:cs="Times New Roman"/>
                <w:sz w:val="22"/>
                <w:szCs w:val="22"/>
              </w:rPr>
              <w:t>Zapísaná v:</w:t>
            </w:r>
          </w:p>
        </w:tc>
        <w:tc>
          <w:tcPr>
            <w:tcW w:w="6515" w:type="dxa"/>
            <w:hideMark/>
          </w:tcPr>
          <w:p w:rsidR="007525CD" w:rsidRPr="00962E74" w:rsidRDefault="007525CD">
            <w:pPr>
              <w:pStyle w:val="Zkladntext2"/>
              <w:shd w:val="clear" w:color="auto" w:fill="auto"/>
              <w:spacing w:line="240" w:lineRule="auto"/>
              <w:ind w:right="142" w:firstLine="0"/>
              <w:jc w:val="left"/>
              <w:rPr>
                <w:rFonts w:ascii="Times New Roman" w:hAnsi="Times New Roman" w:cs="Times New Roman"/>
                <w:sz w:val="22"/>
                <w:szCs w:val="22"/>
              </w:rPr>
            </w:pPr>
            <w:r w:rsidRPr="00962E74">
              <w:rPr>
                <w:rFonts w:ascii="Times New Roman" w:hAnsi="Times New Roman" w:cs="Times New Roman"/>
                <w:sz w:val="22"/>
                <w:szCs w:val="22"/>
              </w:rPr>
              <w:t xml:space="preserve">Obchodnom registri Okresného súdu Bratislava I, oddiel: </w:t>
            </w:r>
            <w:proofErr w:type="spellStart"/>
            <w:r w:rsidRPr="00962E74">
              <w:rPr>
                <w:rFonts w:ascii="Times New Roman" w:hAnsi="Times New Roman" w:cs="Times New Roman"/>
                <w:sz w:val="22"/>
                <w:szCs w:val="22"/>
              </w:rPr>
              <w:t>Sro</w:t>
            </w:r>
            <w:proofErr w:type="spellEnd"/>
            <w:r w:rsidRPr="00962E74">
              <w:rPr>
                <w:rFonts w:ascii="Times New Roman" w:hAnsi="Times New Roman" w:cs="Times New Roman"/>
                <w:sz w:val="22"/>
                <w:szCs w:val="22"/>
              </w:rPr>
              <w:t>, vložka č. 91135/B</w:t>
            </w:r>
          </w:p>
        </w:tc>
      </w:tr>
      <w:tr w:rsidR="007525CD" w:rsidTr="007525CD">
        <w:trPr>
          <w:trHeight w:val="284"/>
        </w:trPr>
        <w:tc>
          <w:tcPr>
            <w:tcW w:w="2405" w:type="dxa"/>
            <w:hideMark/>
          </w:tcPr>
          <w:p w:rsidR="007525CD" w:rsidRPr="00962E74" w:rsidRDefault="007525CD">
            <w:pPr>
              <w:pStyle w:val="Zkladntext2"/>
              <w:shd w:val="clear" w:color="auto" w:fill="auto"/>
              <w:spacing w:line="240" w:lineRule="auto"/>
              <w:ind w:left="34" w:right="142" w:firstLine="0"/>
              <w:jc w:val="left"/>
              <w:rPr>
                <w:rFonts w:ascii="Times New Roman" w:hAnsi="Times New Roman" w:cs="Times New Roman"/>
                <w:sz w:val="22"/>
                <w:szCs w:val="22"/>
              </w:rPr>
            </w:pPr>
            <w:r w:rsidRPr="00962E74">
              <w:rPr>
                <w:rFonts w:ascii="Times New Roman" w:hAnsi="Times New Roman" w:cs="Times New Roman"/>
                <w:sz w:val="22"/>
                <w:szCs w:val="22"/>
              </w:rPr>
              <w:t>IČO:</w:t>
            </w:r>
          </w:p>
        </w:tc>
        <w:tc>
          <w:tcPr>
            <w:tcW w:w="6515" w:type="dxa"/>
            <w:hideMark/>
          </w:tcPr>
          <w:p w:rsidR="007525CD" w:rsidRPr="00962E74" w:rsidRDefault="007525CD">
            <w:pPr>
              <w:pStyle w:val="Zkladntext2"/>
              <w:shd w:val="clear" w:color="auto" w:fill="auto"/>
              <w:spacing w:line="240" w:lineRule="auto"/>
              <w:ind w:right="142" w:firstLine="0"/>
              <w:jc w:val="left"/>
              <w:rPr>
                <w:rFonts w:ascii="Times New Roman" w:hAnsi="Times New Roman" w:cs="Times New Roman"/>
                <w:sz w:val="22"/>
                <w:szCs w:val="22"/>
              </w:rPr>
            </w:pPr>
            <w:r w:rsidRPr="00962E74">
              <w:rPr>
                <w:rFonts w:ascii="Times New Roman" w:hAnsi="Times New Roman" w:cs="Times New Roman"/>
                <w:sz w:val="22"/>
                <w:szCs w:val="22"/>
              </w:rPr>
              <w:t>47 335 874</w:t>
            </w:r>
          </w:p>
        </w:tc>
      </w:tr>
      <w:tr w:rsidR="007525CD" w:rsidTr="007525CD">
        <w:trPr>
          <w:trHeight w:val="284"/>
        </w:trPr>
        <w:tc>
          <w:tcPr>
            <w:tcW w:w="2405" w:type="dxa"/>
            <w:hideMark/>
          </w:tcPr>
          <w:p w:rsidR="007525CD" w:rsidRPr="00962E74" w:rsidRDefault="007525CD">
            <w:pPr>
              <w:pStyle w:val="Zkladntext2"/>
              <w:shd w:val="clear" w:color="auto" w:fill="auto"/>
              <w:spacing w:line="240" w:lineRule="auto"/>
              <w:ind w:left="34" w:right="142" w:firstLine="0"/>
              <w:jc w:val="left"/>
              <w:rPr>
                <w:rFonts w:ascii="Times New Roman" w:hAnsi="Times New Roman" w:cs="Times New Roman"/>
                <w:sz w:val="22"/>
                <w:szCs w:val="22"/>
              </w:rPr>
            </w:pPr>
            <w:r w:rsidRPr="00962E74">
              <w:rPr>
                <w:rFonts w:ascii="Times New Roman" w:hAnsi="Times New Roman" w:cs="Times New Roman"/>
                <w:sz w:val="22"/>
                <w:szCs w:val="22"/>
              </w:rPr>
              <w:t>IČ DPH:</w:t>
            </w:r>
          </w:p>
        </w:tc>
        <w:tc>
          <w:tcPr>
            <w:tcW w:w="6515" w:type="dxa"/>
            <w:hideMark/>
          </w:tcPr>
          <w:p w:rsidR="007525CD" w:rsidRPr="00962E74" w:rsidRDefault="007525CD">
            <w:pPr>
              <w:pStyle w:val="Zkladntext2"/>
              <w:shd w:val="clear" w:color="auto" w:fill="auto"/>
              <w:spacing w:line="240" w:lineRule="auto"/>
              <w:ind w:right="142" w:firstLine="0"/>
              <w:jc w:val="left"/>
              <w:rPr>
                <w:rFonts w:ascii="Times New Roman" w:hAnsi="Times New Roman" w:cs="Times New Roman"/>
                <w:sz w:val="22"/>
                <w:szCs w:val="22"/>
              </w:rPr>
            </w:pPr>
            <w:r w:rsidRPr="00962E74">
              <w:rPr>
                <w:rFonts w:ascii="Times New Roman" w:hAnsi="Times New Roman" w:cs="Times New Roman"/>
                <w:sz w:val="22"/>
                <w:szCs w:val="22"/>
              </w:rPr>
              <w:t>SK2023832041</w:t>
            </w:r>
          </w:p>
        </w:tc>
      </w:tr>
      <w:tr w:rsidR="007525CD" w:rsidTr="007525CD">
        <w:trPr>
          <w:trHeight w:val="284"/>
        </w:trPr>
        <w:tc>
          <w:tcPr>
            <w:tcW w:w="2405" w:type="dxa"/>
            <w:hideMark/>
          </w:tcPr>
          <w:p w:rsidR="007525CD" w:rsidRPr="00962E74" w:rsidRDefault="007525CD">
            <w:pPr>
              <w:pStyle w:val="Zkladntext2"/>
              <w:shd w:val="clear" w:color="auto" w:fill="auto"/>
              <w:spacing w:line="240" w:lineRule="auto"/>
              <w:ind w:left="34" w:right="142" w:firstLine="0"/>
              <w:jc w:val="left"/>
              <w:rPr>
                <w:rFonts w:ascii="Times New Roman" w:hAnsi="Times New Roman" w:cs="Times New Roman"/>
                <w:sz w:val="22"/>
                <w:szCs w:val="22"/>
              </w:rPr>
            </w:pPr>
            <w:r w:rsidRPr="00962E74">
              <w:rPr>
                <w:rFonts w:ascii="Times New Roman" w:hAnsi="Times New Roman" w:cs="Times New Roman"/>
                <w:sz w:val="22"/>
                <w:szCs w:val="22"/>
              </w:rPr>
              <w:t>Bankové spojenie:</w:t>
            </w:r>
          </w:p>
        </w:tc>
        <w:tc>
          <w:tcPr>
            <w:tcW w:w="6515" w:type="dxa"/>
            <w:hideMark/>
          </w:tcPr>
          <w:p w:rsidR="007525CD" w:rsidRPr="00962E74" w:rsidRDefault="007525CD">
            <w:pPr>
              <w:pStyle w:val="Zkladntext2"/>
              <w:shd w:val="clear" w:color="auto" w:fill="auto"/>
              <w:spacing w:line="240" w:lineRule="auto"/>
              <w:ind w:right="142" w:firstLine="0"/>
              <w:jc w:val="left"/>
              <w:rPr>
                <w:rFonts w:ascii="Times New Roman" w:hAnsi="Times New Roman" w:cs="Times New Roman"/>
                <w:sz w:val="22"/>
                <w:szCs w:val="22"/>
              </w:rPr>
            </w:pPr>
            <w:r w:rsidRPr="00962E74">
              <w:rPr>
                <w:rFonts w:ascii="Times New Roman" w:hAnsi="Times New Roman" w:cs="Times New Roman"/>
                <w:sz w:val="22"/>
                <w:szCs w:val="22"/>
              </w:rPr>
              <w:t>Tatra banka, a.s.</w:t>
            </w:r>
          </w:p>
        </w:tc>
      </w:tr>
      <w:tr w:rsidR="007525CD" w:rsidTr="007525CD">
        <w:trPr>
          <w:trHeight w:val="284"/>
        </w:trPr>
        <w:tc>
          <w:tcPr>
            <w:tcW w:w="2405" w:type="dxa"/>
            <w:hideMark/>
          </w:tcPr>
          <w:p w:rsidR="007525CD" w:rsidRPr="00962E74" w:rsidRDefault="007525CD">
            <w:pPr>
              <w:pStyle w:val="Zkladntext2"/>
              <w:shd w:val="clear" w:color="auto" w:fill="auto"/>
              <w:spacing w:line="240" w:lineRule="auto"/>
              <w:ind w:left="34" w:right="142" w:firstLine="0"/>
              <w:jc w:val="left"/>
              <w:rPr>
                <w:rFonts w:ascii="Times New Roman" w:hAnsi="Times New Roman" w:cs="Times New Roman"/>
                <w:sz w:val="22"/>
                <w:szCs w:val="22"/>
              </w:rPr>
            </w:pPr>
            <w:r w:rsidRPr="00962E74">
              <w:rPr>
                <w:rFonts w:ascii="Times New Roman" w:hAnsi="Times New Roman" w:cs="Times New Roman"/>
                <w:sz w:val="22"/>
                <w:szCs w:val="22"/>
              </w:rPr>
              <w:t>IBAN:</w:t>
            </w:r>
          </w:p>
        </w:tc>
        <w:tc>
          <w:tcPr>
            <w:tcW w:w="6515" w:type="dxa"/>
            <w:hideMark/>
          </w:tcPr>
          <w:p w:rsidR="007525CD" w:rsidRPr="00962E74" w:rsidRDefault="007525CD">
            <w:pPr>
              <w:pStyle w:val="Zkladntext2"/>
              <w:shd w:val="clear" w:color="auto" w:fill="auto"/>
              <w:spacing w:line="240" w:lineRule="auto"/>
              <w:ind w:right="142" w:firstLine="0"/>
              <w:jc w:val="left"/>
              <w:rPr>
                <w:rFonts w:ascii="Times New Roman" w:hAnsi="Times New Roman" w:cs="Times New Roman"/>
                <w:sz w:val="22"/>
                <w:szCs w:val="22"/>
              </w:rPr>
            </w:pPr>
            <w:r w:rsidRPr="00962E74">
              <w:rPr>
                <w:rFonts w:ascii="Times New Roman" w:hAnsi="Times New Roman" w:cs="Times New Roman"/>
                <w:sz w:val="22"/>
                <w:szCs w:val="22"/>
              </w:rPr>
              <w:t>SK6811000000002942017913</w:t>
            </w:r>
          </w:p>
        </w:tc>
      </w:tr>
      <w:tr w:rsidR="007525CD" w:rsidTr="007525CD">
        <w:trPr>
          <w:trHeight w:val="284"/>
        </w:trPr>
        <w:tc>
          <w:tcPr>
            <w:tcW w:w="2405" w:type="dxa"/>
            <w:hideMark/>
          </w:tcPr>
          <w:p w:rsidR="007525CD" w:rsidRPr="00962E74" w:rsidRDefault="007525CD">
            <w:pPr>
              <w:pStyle w:val="Zkladntext2"/>
              <w:shd w:val="clear" w:color="auto" w:fill="auto"/>
              <w:spacing w:line="240" w:lineRule="auto"/>
              <w:ind w:left="34" w:right="142" w:firstLine="0"/>
              <w:jc w:val="left"/>
              <w:rPr>
                <w:rFonts w:ascii="Times New Roman" w:hAnsi="Times New Roman" w:cs="Times New Roman"/>
                <w:sz w:val="22"/>
                <w:szCs w:val="22"/>
              </w:rPr>
            </w:pPr>
            <w:r w:rsidRPr="00962E74">
              <w:rPr>
                <w:rFonts w:ascii="Times New Roman" w:hAnsi="Times New Roman" w:cs="Times New Roman"/>
                <w:sz w:val="22"/>
                <w:szCs w:val="22"/>
              </w:rPr>
              <w:t>V mene ktorej koná:</w:t>
            </w:r>
          </w:p>
        </w:tc>
        <w:tc>
          <w:tcPr>
            <w:tcW w:w="6515" w:type="dxa"/>
            <w:hideMark/>
          </w:tcPr>
          <w:p w:rsidR="007525CD" w:rsidRPr="00962E74" w:rsidRDefault="008B4144">
            <w:pPr>
              <w:pStyle w:val="Zkladntext2"/>
              <w:shd w:val="clear" w:color="auto" w:fill="auto"/>
              <w:spacing w:line="240" w:lineRule="auto"/>
              <w:ind w:right="142" w:firstLine="0"/>
              <w:jc w:val="left"/>
              <w:rPr>
                <w:rFonts w:ascii="Times New Roman" w:hAnsi="Times New Roman" w:cs="Times New Roman"/>
                <w:sz w:val="22"/>
                <w:szCs w:val="22"/>
              </w:rPr>
            </w:pPr>
            <w:r>
              <w:rPr>
                <w:rFonts w:ascii="Times New Roman" w:hAnsi="Times New Roman" w:cs="Times New Roman"/>
                <w:sz w:val="22"/>
                <w:szCs w:val="22"/>
              </w:rPr>
              <w:t>Mgr. Tomáš Záhradník</w:t>
            </w:r>
            <w:r w:rsidR="007525CD" w:rsidRPr="00962E74">
              <w:rPr>
                <w:rFonts w:ascii="Times New Roman" w:hAnsi="Times New Roman" w:cs="Times New Roman"/>
                <w:sz w:val="22"/>
                <w:szCs w:val="22"/>
              </w:rPr>
              <w:t>, konateľ spoločnosti</w:t>
            </w:r>
          </w:p>
          <w:p w:rsidR="007525CD" w:rsidRPr="00962E74" w:rsidRDefault="008B4144">
            <w:pPr>
              <w:pStyle w:val="Zkladntext2"/>
              <w:shd w:val="clear" w:color="auto" w:fill="auto"/>
              <w:spacing w:line="240" w:lineRule="auto"/>
              <w:ind w:right="142" w:firstLine="0"/>
              <w:jc w:val="left"/>
              <w:rPr>
                <w:rFonts w:ascii="Times New Roman" w:hAnsi="Times New Roman" w:cs="Times New Roman"/>
                <w:sz w:val="22"/>
                <w:szCs w:val="22"/>
              </w:rPr>
            </w:pPr>
            <w:r>
              <w:rPr>
                <w:rFonts w:ascii="Times New Roman" w:hAnsi="Times New Roman" w:cs="Times New Roman"/>
                <w:sz w:val="22"/>
                <w:szCs w:val="22"/>
              </w:rPr>
              <w:t>Beáta Gregorová</w:t>
            </w:r>
            <w:r w:rsidR="007525CD" w:rsidRPr="00962E74">
              <w:rPr>
                <w:rFonts w:ascii="Times New Roman" w:hAnsi="Times New Roman" w:cs="Times New Roman"/>
                <w:sz w:val="22"/>
                <w:szCs w:val="22"/>
              </w:rPr>
              <w:t>, konateľ spoločnosti</w:t>
            </w:r>
          </w:p>
        </w:tc>
      </w:tr>
      <w:tr w:rsidR="004C7FFC" w:rsidTr="007525CD">
        <w:trPr>
          <w:trHeight w:val="284"/>
        </w:trPr>
        <w:tc>
          <w:tcPr>
            <w:tcW w:w="2405" w:type="dxa"/>
          </w:tcPr>
          <w:p w:rsidR="004C7FFC" w:rsidRPr="00962E74" w:rsidRDefault="004C7FFC">
            <w:pPr>
              <w:pStyle w:val="Zkladntext2"/>
              <w:shd w:val="clear" w:color="auto" w:fill="auto"/>
              <w:spacing w:line="240" w:lineRule="auto"/>
              <w:ind w:left="34" w:right="142" w:firstLine="0"/>
              <w:jc w:val="left"/>
              <w:rPr>
                <w:rFonts w:ascii="Times New Roman" w:hAnsi="Times New Roman" w:cs="Times New Roman"/>
                <w:sz w:val="22"/>
                <w:szCs w:val="22"/>
              </w:rPr>
            </w:pPr>
            <w:r>
              <w:rPr>
                <w:rFonts w:ascii="Times New Roman" w:hAnsi="Times New Roman" w:cs="Times New Roman"/>
                <w:sz w:val="22"/>
                <w:szCs w:val="22"/>
              </w:rPr>
              <w:t>Číslo povolenia:</w:t>
            </w:r>
          </w:p>
        </w:tc>
        <w:tc>
          <w:tcPr>
            <w:tcW w:w="6515" w:type="dxa"/>
          </w:tcPr>
          <w:p w:rsidR="004C7FFC" w:rsidRDefault="004C7FFC">
            <w:pPr>
              <w:pStyle w:val="Zkladntext2"/>
              <w:shd w:val="clear" w:color="auto" w:fill="auto"/>
              <w:spacing w:line="240" w:lineRule="auto"/>
              <w:ind w:right="142" w:firstLine="0"/>
              <w:jc w:val="left"/>
              <w:rPr>
                <w:rFonts w:ascii="Times New Roman" w:hAnsi="Times New Roman" w:cs="Times New Roman"/>
                <w:sz w:val="22"/>
                <w:szCs w:val="22"/>
              </w:rPr>
            </w:pPr>
            <w:r>
              <w:rPr>
                <w:rFonts w:ascii="Times New Roman" w:hAnsi="Times New Roman" w:cs="Times New Roman"/>
                <w:sz w:val="22"/>
                <w:szCs w:val="22"/>
              </w:rPr>
              <w:t>2017E 0657 – 1. zmena</w:t>
            </w:r>
            <w:bookmarkStart w:id="0" w:name="_GoBack"/>
            <w:bookmarkEnd w:id="0"/>
          </w:p>
        </w:tc>
      </w:tr>
    </w:tbl>
    <w:p w:rsidR="004C7FFC" w:rsidRDefault="004C7FFC" w:rsidP="007525CD">
      <w:pPr>
        <w:pStyle w:val="Default"/>
        <w:spacing w:before="120" w:after="360" w:line="240" w:lineRule="auto"/>
        <w:rPr>
          <w:rFonts w:ascii="Times New Roman" w:hAnsi="Times New Roman"/>
          <w:sz w:val="22"/>
          <w:szCs w:val="22"/>
          <w:lang w:val="sk-SK"/>
        </w:rPr>
      </w:pPr>
    </w:p>
    <w:p w:rsidR="007525CD" w:rsidRDefault="007525CD" w:rsidP="007525CD">
      <w:pPr>
        <w:pStyle w:val="Default"/>
        <w:spacing w:before="120" w:after="360" w:line="240" w:lineRule="auto"/>
        <w:rPr>
          <w:rFonts w:ascii="Times New Roman" w:hAnsi="Times New Roman"/>
          <w:sz w:val="22"/>
          <w:szCs w:val="22"/>
          <w:lang w:val="sk-SK"/>
        </w:rPr>
      </w:pPr>
      <w:r>
        <w:rPr>
          <w:rFonts w:ascii="Times New Roman" w:hAnsi="Times New Roman"/>
          <w:sz w:val="22"/>
          <w:szCs w:val="22"/>
          <w:lang w:val="sk-SK"/>
        </w:rPr>
        <w:t xml:space="preserve"> (ďalej len „</w:t>
      </w:r>
      <w:r>
        <w:rPr>
          <w:rFonts w:ascii="Times New Roman" w:hAnsi="Times New Roman"/>
          <w:b/>
          <w:sz w:val="22"/>
          <w:szCs w:val="22"/>
          <w:lang w:val="sk-SK"/>
        </w:rPr>
        <w:t>Dodávateľ</w:t>
      </w:r>
      <w:r>
        <w:rPr>
          <w:rFonts w:ascii="Times New Roman" w:hAnsi="Times New Roman"/>
          <w:sz w:val="22"/>
          <w:szCs w:val="22"/>
          <w:lang w:val="sk-SK"/>
        </w:rPr>
        <w:t>“)</w:t>
      </w:r>
    </w:p>
    <w:tbl>
      <w:tblPr>
        <w:tblStyle w:val="Mriekatabu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
        <w:gridCol w:w="8555"/>
      </w:tblGrid>
      <w:tr w:rsidR="007525CD" w:rsidTr="007525CD">
        <w:tc>
          <w:tcPr>
            <w:tcW w:w="426" w:type="dxa"/>
          </w:tcPr>
          <w:p w:rsidR="007525CD" w:rsidRDefault="007525CD" w:rsidP="00717A10">
            <w:pPr>
              <w:pStyle w:val="Default"/>
              <w:numPr>
                <w:ilvl w:val="0"/>
                <w:numId w:val="3"/>
              </w:numPr>
              <w:spacing w:line="240" w:lineRule="auto"/>
              <w:ind w:left="57" w:firstLine="57"/>
              <w:rPr>
                <w:rFonts w:ascii="Times New Roman" w:hAnsi="Times New Roman"/>
                <w:sz w:val="22"/>
                <w:szCs w:val="22"/>
                <w:lang w:val="sk-SK"/>
              </w:rPr>
            </w:pPr>
          </w:p>
        </w:tc>
        <w:tc>
          <w:tcPr>
            <w:tcW w:w="9244" w:type="dxa"/>
          </w:tcPr>
          <w:p w:rsidR="007525CD" w:rsidRDefault="007525CD">
            <w:pPr>
              <w:pStyle w:val="Default"/>
              <w:spacing w:line="240" w:lineRule="auto"/>
              <w:rPr>
                <w:rFonts w:ascii="Times New Roman" w:hAnsi="Times New Roman"/>
                <w:sz w:val="22"/>
                <w:szCs w:val="22"/>
                <w:lang w:val="sk-SK"/>
              </w:rPr>
            </w:pPr>
          </w:p>
        </w:tc>
      </w:tr>
      <w:tr w:rsidR="007525CD" w:rsidTr="007525CD">
        <w:tc>
          <w:tcPr>
            <w:tcW w:w="426" w:type="dxa"/>
          </w:tcPr>
          <w:p w:rsidR="007525CD" w:rsidRDefault="007525CD">
            <w:pPr>
              <w:pStyle w:val="Default"/>
              <w:spacing w:line="240" w:lineRule="auto"/>
              <w:rPr>
                <w:rFonts w:ascii="Times New Roman" w:hAnsi="Times New Roman"/>
                <w:sz w:val="22"/>
                <w:szCs w:val="22"/>
                <w:lang w:val="sk-SK"/>
              </w:rPr>
            </w:pPr>
          </w:p>
        </w:tc>
        <w:tc>
          <w:tcPr>
            <w:tcW w:w="9244" w:type="dxa"/>
          </w:tcPr>
          <w:p w:rsidR="007525CD" w:rsidRDefault="007525CD">
            <w:pPr>
              <w:pStyle w:val="Default"/>
              <w:spacing w:line="240" w:lineRule="auto"/>
              <w:rPr>
                <w:rFonts w:ascii="Times New Roman" w:hAnsi="Times New Roman"/>
                <w:sz w:val="22"/>
                <w:szCs w:val="22"/>
                <w:lang w:val="sk-SK"/>
              </w:rPr>
            </w:pPr>
          </w:p>
        </w:tc>
      </w:tr>
      <w:tr w:rsidR="007525CD" w:rsidTr="007525CD">
        <w:tc>
          <w:tcPr>
            <w:tcW w:w="426" w:type="dxa"/>
          </w:tcPr>
          <w:p w:rsidR="007525CD" w:rsidRDefault="007525CD">
            <w:pPr>
              <w:pStyle w:val="Default"/>
              <w:spacing w:line="240" w:lineRule="auto"/>
              <w:rPr>
                <w:rFonts w:ascii="Times New Roman" w:hAnsi="Times New Roman"/>
                <w:sz w:val="22"/>
                <w:szCs w:val="22"/>
                <w:lang w:val="sk-SK"/>
              </w:rPr>
            </w:pPr>
          </w:p>
        </w:tc>
        <w:tc>
          <w:tcPr>
            <w:tcW w:w="9244" w:type="dxa"/>
          </w:tcPr>
          <w:p w:rsidR="007525CD" w:rsidRDefault="007525CD">
            <w:pPr>
              <w:pStyle w:val="Default"/>
              <w:spacing w:line="240" w:lineRule="auto"/>
              <w:rPr>
                <w:rFonts w:ascii="Times New Roman" w:hAnsi="Times New Roman"/>
                <w:sz w:val="22"/>
                <w:szCs w:val="22"/>
                <w:lang w:val="sk-SK"/>
              </w:rPr>
            </w:pPr>
          </w:p>
        </w:tc>
      </w:tr>
      <w:tr w:rsidR="007525CD" w:rsidTr="007525CD">
        <w:tc>
          <w:tcPr>
            <w:tcW w:w="426" w:type="dxa"/>
          </w:tcPr>
          <w:p w:rsidR="007525CD" w:rsidRDefault="007525CD">
            <w:pPr>
              <w:pStyle w:val="Default"/>
              <w:spacing w:line="240" w:lineRule="auto"/>
              <w:rPr>
                <w:rFonts w:ascii="Times New Roman" w:hAnsi="Times New Roman"/>
                <w:sz w:val="22"/>
                <w:szCs w:val="22"/>
                <w:lang w:val="sk-SK"/>
              </w:rPr>
            </w:pPr>
          </w:p>
        </w:tc>
        <w:tc>
          <w:tcPr>
            <w:tcW w:w="9244" w:type="dxa"/>
          </w:tcPr>
          <w:p w:rsidR="007525CD" w:rsidRDefault="007525CD">
            <w:pPr>
              <w:pStyle w:val="Default"/>
              <w:spacing w:line="240" w:lineRule="auto"/>
              <w:rPr>
                <w:rFonts w:ascii="Times New Roman" w:hAnsi="Times New Roman"/>
                <w:sz w:val="22"/>
                <w:szCs w:val="22"/>
                <w:lang w:val="sk-SK"/>
              </w:rPr>
            </w:pPr>
          </w:p>
        </w:tc>
      </w:tr>
      <w:tr w:rsidR="007525CD" w:rsidTr="007525CD">
        <w:tc>
          <w:tcPr>
            <w:tcW w:w="426" w:type="dxa"/>
          </w:tcPr>
          <w:p w:rsidR="007525CD" w:rsidRDefault="007525CD">
            <w:pPr>
              <w:pStyle w:val="Default"/>
              <w:spacing w:line="240" w:lineRule="auto"/>
              <w:rPr>
                <w:rFonts w:ascii="Times New Roman" w:hAnsi="Times New Roman"/>
                <w:sz w:val="22"/>
                <w:szCs w:val="22"/>
                <w:lang w:val="sk-SK"/>
              </w:rPr>
            </w:pPr>
          </w:p>
        </w:tc>
        <w:tc>
          <w:tcPr>
            <w:tcW w:w="9244" w:type="dxa"/>
            <w:hideMark/>
          </w:tcPr>
          <w:p w:rsidR="007525CD" w:rsidRDefault="007525CD">
            <w:pPr>
              <w:pStyle w:val="Default"/>
              <w:spacing w:line="240" w:lineRule="auto"/>
              <w:rPr>
                <w:rFonts w:ascii="Times New Roman" w:hAnsi="Times New Roman"/>
                <w:sz w:val="22"/>
                <w:szCs w:val="22"/>
                <w:lang w:val="sk-SK"/>
              </w:rPr>
            </w:pPr>
            <w:r>
              <w:rPr>
                <w:rFonts w:ascii="Times New Roman" w:hAnsi="Times New Roman"/>
                <w:sz w:val="22"/>
                <w:szCs w:val="22"/>
                <w:lang w:val="sk-SK"/>
              </w:rPr>
              <w:t xml:space="preserve">IČ DPH: </w:t>
            </w:r>
            <w:r>
              <w:rPr>
                <w:rFonts w:ascii="Times New Roman" w:hAnsi="Times New Roman"/>
                <w:sz w:val="22"/>
                <w:szCs w:val="22"/>
                <w:highlight w:val="yellow"/>
                <w:lang w:val="sk-SK"/>
              </w:rPr>
              <w:t>[●]</w:t>
            </w:r>
          </w:p>
        </w:tc>
      </w:tr>
      <w:tr w:rsidR="007525CD" w:rsidTr="007525CD">
        <w:tc>
          <w:tcPr>
            <w:tcW w:w="426" w:type="dxa"/>
          </w:tcPr>
          <w:p w:rsidR="007525CD" w:rsidRDefault="007525CD">
            <w:pPr>
              <w:pStyle w:val="Default"/>
              <w:spacing w:line="240" w:lineRule="auto"/>
              <w:rPr>
                <w:rFonts w:ascii="Times New Roman" w:hAnsi="Times New Roman"/>
                <w:sz w:val="22"/>
                <w:szCs w:val="22"/>
                <w:lang w:val="sk-SK"/>
              </w:rPr>
            </w:pPr>
          </w:p>
        </w:tc>
        <w:tc>
          <w:tcPr>
            <w:tcW w:w="9244" w:type="dxa"/>
            <w:hideMark/>
          </w:tcPr>
          <w:p w:rsidR="007525CD" w:rsidRDefault="007525CD">
            <w:pPr>
              <w:pStyle w:val="Default"/>
              <w:spacing w:line="240" w:lineRule="auto"/>
              <w:rPr>
                <w:rFonts w:ascii="Times New Roman" w:hAnsi="Times New Roman"/>
                <w:sz w:val="22"/>
                <w:szCs w:val="22"/>
                <w:lang w:val="sk-SK"/>
              </w:rPr>
            </w:pPr>
            <w:r>
              <w:rPr>
                <w:rFonts w:ascii="Times New Roman" w:hAnsi="Times New Roman"/>
                <w:sz w:val="22"/>
                <w:szCs w:val="22"/>
                <w:lang w:val="sk-SK"/>
              </w:rPr>
              <w:t xml:space="preserve">Bankové spojenie: </w:t>
            </w:r>
            <w:r>
              <w:rPr>
                <w:rFonts w:ascii="Times New Roman" w:hAnsi="Times New Roman"/>
                <w:sz w:val="22"/>
                <w:szCs w:val="22"/>
                <w:highlight w:val="yellow"/>
                <w:lang w:val="sk-SK"/>
              </w:rPr>
              <w:t>[●]</w:t>
            </w:r>
          </w:p>
        </w:tc>
      </w:tr>
    </w:tbl>
    <w:p w:rsidR="007525CD" w:rsidRDefault="007525CD" w:rsidP="007525CD">
      <w:pPr>
        <w:pStyle w:val="Default"/>
        <w:spacing w:before="120" w:line="240" w:lineRule="auto"/>
        <w:rPr>
          <w:rFonts w:ascii="Times New Roman" w:hAnsi="Times New Roman"/>
          <w:sz w:val="22"/>
          <w:szCs w:val="22"/>
          <w:lang w:val="sk-SK"/>
        </w:rPr>
      </w:pPr>
      <w:r>
        <w:rPr>
          <w:rFonts w:ascii="Times New Roman" w:hAnsi="Times New Roman"/>
          <w:sz w:val="22"/>
          <w:szCs w:val="22"/>
          <w:lang w:val="sk-SK"/>
        </w:rPr>
        <w:t>(ďalej len „</w:t>
      </w:r>
      <w:r>
        <w:rPr>
          <w:rFonts w:ascii="Times New Roman" w:hAnsi="Times New Roman"/>
          <w:b/>
          <w:sz w:val="22"/>
          <w:szCs w:val="22"/>
          <w:lang w:val="sk-SK"/>
        </w:rPr>
        <w:t>Odberateľ</w:t>
      </w:r>
      <w:r>
        <w:rPr>
          <w:rFonts w:ascii="Times New Roman" w:hAnsi="Times New Roman"/>
          <w:sz w:val="22"/>
          <w:szCs w:val="22"/>
          <w:lang w:val="sk-SK"/>
        </w:rPr>
        <w:t>“)</w:t>
      </w:r>
    </w:p>
    <w:p w:rsidR="007525CD" w:rsidRDefault="007525CD" w:rsidP="007525CD">
      <w:pPr>
        <w:rPr>
          <w:szCs w:val="22"/>
        </w:rPr>
      </w:pPr>
      <w:r>
        <w:rPr>
          <w:szCs w:val="22"/>
        </w:rPr>
        <w:t>(Dodávateľ a Odberateľ ďalej tiež samostatne ako "</w:t>
      </w:r>
      <w:r>
        <w:rPr>
          <w:b/>
          <w:szCs w:val="22"/>
        </w:rPr>
        <w:t>Zmluvná strana</w:t>
      </w:r>
      <w:r>
        <w:rPr>
          <w:szCs w:val="22"/>
        </w:rPr>
        <w:t>" a spoločne ako "</w:t>
      </w:r>
      <w:r>
        <w:rPr>
          <w:b/>
          <w:szCs w:val="22"/>
        </w:rPr>
        <w:t>Zmluvné strany</w:t>
      </w:r>
      <w:r>
        <w:rPr>
          <w:szCs w:val="22"/>
        </w:rPr>
        <w:t>")</w:t>
      </w:r>
    </w:p>
    <w:tbl>
      <w:tblPr>
        <w:tblW w:w="9747" w:type="dxa"/>
        <w:tblLook w:val="01E0" w:firstRow="1" w:lastRow="1" w:firstColumn="1" w:lastColumn="1" w:noHBand="0" w:noVBand="0"/>
      </w:tblPr>
      <w:tblGrid>
        <w:gridCol w:w="9752"/>
      </w:tblGrid>
      <w:tr w:rsidR="007525CD" w:rsidTr="007525CD">
        <w:tc>
          <w:tcPr>
            <w:tcW w:w="9747" w:type="dxa"/>
            <w:hideMark/>
          </w:tcPr>
          <w:p w:rsidR="007525CD" w:rsidRDefault="007525CD">
            <w:pPr>
              <w:tabs>
                <w:tab w:val="center" w:pos="4512"/>
              </w:tabs>
              <w:rPr>
                <w:bCs/>
                <w:szCs w:val="22"/>
              </w:rPr>
            </w:pPr>
            <w:r>
              <w:rPr>
                <w:bCs/>
                <w:szCs w:val="22"/>
              </w:rPr>
              <w:t>VZHĽADOM NA TO, ŽE:</w:t>
            </w:r>
          </w:p>
        </w:tc>
      </w:tr>
      <w:tr w:rsidR="007525CD" w:rsidTr="007525CD">
        <w:tc>
          <w:tcPr>
            <w:tcW w:w="9747" w:type="dxa"/>
            <w:hideMark/>
          </w:tcPr>
          <w:p w:rsidR="007525CD" w:rsidRDefault="007525CD" w:rsidP="00717A10">
            <w:pPr>
              <w:numPr>
                <w:ilvl w:val="0"/>
                <w:numId w:val="4"/>
              </w:numPr>
              <w:tabs>
                <w:tab w:val="center" w:pos="567"/>
              </w:tabs>
              <w:ind w:left="567" w:hanging="567"/>
              <w:rPr>
                <w:b/>
                <w:bCs/>
                <w:szCs w:val="22"/>
              </w:rPr>
            </w:pPr>
            <w:r>
              <w:rPr>
                <w:bCs/>
                <w:szCs w:val="22"/>
              </w:rPr>
              <w:t>Dodávateľ je oprávnený prostredníctvom vlastnej miestnej distribučnej sústavy (ďalej len „</w:t>
            </w:r>
            <w:r>
              <w:rPr>
                <w:b/>
                <w:bCs/>
                <w:szCs w:val="22"/>
              </w:rPr>
              <w:t>MDS</w:t>
            </w:r>
            <w:r>
              <w:rPr>
                <w:bCs/>
                <w:szCs w:val="22"/>
              </w:rPr>
              <w:t xml:space="preserve">“) dodávať elektrinu do odberných miest Odberateľa na základe </w:t>
            </w:r>
            <w:r>
              <w:rPr>
                <w:szCs w:val="22"/>
              </w:rPr>
              <w:t>povolenia udeleného Úradom pre reguláciu sieťových odvetví (ďalej len "</w:t>
            </w:r>
            <w:r>
              <w:rPr>
                <w:b/>
                <w:szCs w:val="22"/>
              </w:rPr>
              <w:t>ÚRSO</w:t>
            </w:r>
            <w:r>
              <w:rPr>
                <w:szCs w:val="22"/>
              </w:rPr>
              <w:t>"): predmet podnikania: elektroenergetika, rozsah podnikania: distribúcia elektriny a dodávka elektriny, číslo povolenia: ..............., v znení jeho prípadných zmien.</w:t>
            </w:r>
          </w:p>
        </w:tc>
      </w:tr>
      <w:tr w:rsidR="007525CD" w:rsidTr="007525CD">
        <w:tc>
          <w:tcPr>
            <w:tcW w:w="9747" w:type="dxa"/>
            <w:hideMark/>
          </w:tcPr>
          <w:p w:rsidR="007525CD" w:rsidRDefault="007525CD" w:rsidP="00717A10">
            <w:pPr>
              <w:numPr>
                <w:ilvl w:val="0"/>
                <w:numId w:val="4"/>
              </w:numPr>
              <w:tabs>
                <w:tab w:val="center" w:pos="567"/>
              </w:tabs>
              <w:ind w:left="567" w:hanging="567"/>
              <w:rPr>
                <w:bCs/>
                <w:szCs w:val="22"/>
              </w:rPr>
            </w:pPr>
            <w:r>
              <w:rPr>
                <w:szCs w:val="22"/>
              </w:rPr>
              <w:t xml:space="preserve">Medzi Odberateľom a BLUMENTAL OFFICE I, s.r.o. je uzavretá </w:t>
            </w:r>
            <w:r>
              <w:rPr>
                <w:bCs/>
                <w:szCs w:val="22"/>
              </w:rPr>
              <w:t xml:space="preserve">zmluva o nájme zo dňa </w:t>
            </w:r>
            <w:r>
              <w:rPr>
                <w:szCs w:val="22"/>
                <w:highlight w:val="yellow"/>
              </w:rPr>
              <w:t>[●]</w:t>
            </w:r>
            <w:r>
              <w:rPr>
                <w:szCs w:val="22"/>
              </w:rPr>
              <w:t xml:space="preserve">, ktorej predmetom je nájom nebytových priestorov s označením č. .... </w:t>
            </w:r>
            <w:r>
              <w:rPr>
                <w:bCs/>
                <w:szCs w:val="22"/>
              </w:rPr>
              <w:t>(ďalej len „</w:t>
            </w:r>
            <w:r w:rsidR="005000A9" w:rsidRPr="005000A9">
              <w:rPr>
                <w:b/>
                <w:bCs/>
                <w:szCs w:val="22"/>
              </w:rPr>
              <w:t>Nájomn</w:t>
            </w:r>
            <w:r w:rsidR="00880025">
              <w:rPr>
                <w:b/>
                <w:bCs/>
                <w:szCs w:val="22"/>
              </w:rPr>
              <w:t>á</w:t>
            </w:r>
            <w:r w:rsidR="005000A9" w:rsidRPr="005000A9">
              <w:rPr>
                <w:b/>
                <w:bCs/>
                <w:szCs w:val="22"/>
              </w:rPr>
              <w:t xml:space="preserve"> zmluv</w:t>
            </w:r>
            <w:r w:rsidR="00880025">
              <w:rPr>
                <w:b/>
                <w:bCs/>
                <w:szCs w:val="22"/>
              </w:rPr>
              <w:t>a</w:t>
            </w:r>
            <w:r>
              <w:rPr>
                <w:bCs/>
                <w:szCs w:val="22"/>
              </w:rPr>
              <w:t>“)</w:t>
            </w:r>
            <w:r>
              <w:rPr>
                <w:szCs w:val="22"/>
              </w:rPr>
              <w:t xml:space="preserve"> v objekte </w:t>
            </w:r>
            <w:proofErr w:type="spellStart"/>
            <w:r>
              <w:rPr>
                <w:szCs w:val="22"/>
              </w:rPr>
              <w:t>Blumental</w:t>
            </w:r>
            <w:proofErr w:type="spellEnd"/>
            <w:r>
              <w:rPr>
                <w:szCs w:val="22"/>
              </w:rPr>
              <w:t xml:space="preserve"> Office I.</w:t>
            </w:r>
          </w:p>
        </w:tc>
      </w:tr>
      <w:tr w:rsidR="007525CD" w:rsidTr="007525CD">
        <w:tc>
          <w:tcPr>
            <w:tcW w:w="9747" w:type="dxa"/>
            <w:hideMark/>
          </w:tcPr>
          <w:p w:rsidR="007525CD" w:rsidRDefault="007525CD">
            <w:pPr>
              <w:tabs>
                <w:tab w:val="center" w:pos="0"/>
              </w:tabs>
              <w:rPr>
                <w:bCs/>
                <w:szCs w:val="22"/>
              </w:rPr>
            </w:pPr>
            <w:r>
              <w:rPr>
                <w:bCs/>
                <w:szCs w:val="22"/>
              </w:rPr>
              <w:t>ZMLUVNÉ STRANY TÝMTO UZATVÁRAJÚ túto zmluvu o združenej dodávke elektriny (ďalej len „</w:t>
            </w:r>
            <w:r>
              <w:rPr>
                <w:b/>
                <w:bCs/>
                <w:szCs w:val="22"/>
              </w:rPr>
              <w:t>Zmluva</w:t>
            </w:r>
            <w:r>
              <w:rPr>
                <w:bCs/>
                <w:szCs w:val="22"/>
              </w:rPr>
              <w:t>“):</w:t>
            </w:r>
          </w:p>
        </w:tc>
      </w:tr>
      <w:tr w:rsidR="007525CD" w:rsidTr="007525CD">
        <w:tc>
          <w:tcPr>
            <w:tcW w:w="9747" w:type="dxa"/>
            <w:hideMark/>
          </w:tcPr>
          <w:p w:rsidR="007525CD" w:rsidRDefault="007525CD" w:rsidP="00717A10">
            <w:pPr>
              <w:pStyle w:val="Nadpis1"/>
              <w:numPr>
                <w:ilvl w:val="0"/>
                <w:numId w:val="2"/>
              </w:numPr>
              <w:rPr>
                <w:szCs w:val="22"/>
              </w:rPr>
            </w:pPr>
            <w:bookmarkStart w:id="1" w:name="_Ref417389585"/>
            <w:r>
              <w:rPr>
                <w:szCs w:val="22"/>
              </w:rPr>
              <w:t>Predmet Zmluvy</w:t>
            </w:r>
            <w:bookmarkEnd w:id="1"/>
          </w:p>
        </w:tc>
      </w:tr>
      <w:tr w:rsidR="007525CD" w:rsidTr="007525CD">
        <w:tc>
          <w:tcPr>
            <w:tcW w:w="9747" w:type="dxa"/>
            <w:hideMark/>
          </w:tcPr>
          <w:p w:rsidR="007525CD" w:rsidRDefault="007525CD" w:rsidP="00717A10">
            <w:pPr>
              <w:pStyle w:val="Nadpis2"/>
              <w:numPr>
                <w:ilvl w:val="1"/>
                <w:numId w:val="2"/>
              </w:numPr>
              <w:rPr>
                <w:szCs w:val="22"/>
              </w:rPr>
            </w:pPr>
            <w:r>
              <w:rPr>
                <w:szCs w:val="22"/>
              </w:rPr>
              <w:t xml:space="preserve">Predmetom tejto Zmluvy je záväzok Dodávateľa zabezpečovať dodávku a distribúciu elektriny a ostatné distribučné služby do odberných miest Odberateľa nachádzajúcich sa v predmete nájmu podľa </w:t>
            </w:r>
            <w:r w:rsidR="005000A9">
              <w:rPr>
                <w:szCs w:val="22"/>
              </w:rPr>
              <w:t>Nájomnej zmluvy</w:t>
            </w:r>
            <w:r>
              <w:rPr>
                <w:szCs w:val="22"/>
              </w:rPr>
              <w:t xml:space="preserve">, po dobu trvania tejto Zmluvy a za podmienok špecifikovaných v tejto Zmluve, v prevádzkovom poriadku MDS schválenom ÚRSO a v Obchodných podmienkach Dodávateľa (ďalej </w:t>
            </w:r>
            <w:r>
              <w:rPr>
                <w:szCs w:val="22"/>
              </w:rPr>
              <w:lastRenderedPageBreak/>
              <w:t>len „</w:t>
            </w:r>
            <w:r>
              <w:rPr>
                <w:b/>
                <w:szCs w:val="22"/>
              </w:rPr>
              <w:t>OP</w:t>
            </w:r>
            <w:r>
              <w:rPr>
                <w:szCs w:val="22"/>
              </w:rPr>
              <w:t xml:space="preserve">“). Odberateľ vyhlasuje, že </w:t>
            </w:r>
            <w:proofErr w:type="spellStart"/>
            <w:r>
              <w:rPr>
                <w:szCs w:val="22"/>
              </w:rPr>
              <w:t>sas</w:t>
            </w:r>
            <w:proofErr w:type="spellEnd"/>
            <w:r>
              <w:rPr>
                <w:szCs w:val="22"/>
              </w:rPr>
              <w:t xml:space="preserve"> týmito dokumentmi oboznámil pred uzavretím tejto Zmluvy. Miestom plnenia sú odberné miesta Odberateľa, ktoré sú bližšie špecifikované v článku </w:t>
            </w:r>
            <w:r>
              <w:rPr>
                <w:szCs w:val="22"/>
              </w:rPr>
              <w:fldChar w:fldCharType="begin"/>
            </w:r>
            <w:r>
              <w:rPr>
                <w:szCs w:val="22"/>
              </w:rPr>
              <w:instrText xml:space="preserve"> REF _Ref417389463 \r \h </w:instrText>
            </w:r>
            <w:r>
              <w:rPr>
                <w:szCs w:val="22"/>
              </w:rPr>
            </w:r>
            <w:r>
              <w:rPr>
                <w:szCs w:val="22"/>
              </w:rPr>
              <w:fldChar w:fldCharType="separate"/>
            </w:r>
            <w:r>
              <w:rPr>
                <w:szCs w:val="22"/>
              </w:rPr>
              <w:t>2</w:t>
            </w:r>
            <w:r>
              <w:rPr>
                <w:szCs w:val="22"/>
              </w:rPr>
              <w:fldChar w:fldCharType="end"/>
            </w:r>
            <w:r>
              <w:rPr>
                <w:szCs w:val="22"/>
              </w:rPr>
              <w:t xml:space="preserve"> tejto Zmluvy. Dodávateľ sa po dobu trvania tejto Zmluvy zaväzuje prevziať zodpovednosť za odchýlku Odberateľa.</w:t>
            </w:r>
          </w:p>
        </w:tc>
      </w:tr>
      <w:tr w:rsidR="007525CD" w:rsidTr="007525CD">
        <w:tc>
          <w:tcPr>
            <w:tcW w:w="9747" w:type="dxa"/>
            <w:hideMark/>
          </w:tcPr>
          <w:p w:rsidR="007525CD" w:rsidRDefault="007525CD" w:rsidP="00717A10">
            <w:pPr>
              <w:pStyle w:val="Nadpis2"/>
              <w:numPr>
                <w:ilvl w:val="1"/>
                <w:numId w:val="2"/>
              </w:numPr>
              <w:rPr>
                <w:szCs w:val="22"/>
              </w:rPr>
            </w:pPr>
            <w:r>
              <w:rPr>
                <w:szCs w:val="22"/>
              </w:rPr>
              <w:lastRenderedPageBreak/>
              <w:t>Odberateľ sa zaväzuje odoberať elektrinu podľa podmienok tejto Zmluvy a za odobratú elektrinu, distribúciu a ostatné služby riadne a včas zaplatiť cenu podľa tejto Zmluvy.</w:t>
            </w:r>
          </w:p>
        </w:tc>
      </w:tr>
      <w:tr w:rsidR="007525CD" w:rsidTr="007525CD">
        <w:tc>
          <w:tcPr>
            <w:tcW w:w="9747" w:type="dxa"/>
            <w:hideMark/>
          </w:tcPr>
          <w:p w:rsidR="007525CD" w:rsidRDefault="007525CD" w:rsidP="00717A10">
            <w:pPr>
              <w:pStyle w:val="Nadpis1"/>
              <w:numPr>
                <w:ilvl w:val="0"/>
                <w:numId w:val="2"/>
              </w:numPr>
              <w:rPr>
                <w:szCs w:val="22"/>
              </w:rPr>
            </w:pPr>
            <w:bookmarkStart w:id="2" w:name="_Ref417389463"/>
            <w:r>
              <w:rPr>
                <w:szCs w:val="22"/>
              </w:rPr>
              <w:t>Špecifikácia odberného miesta</w:t>
            </w:r>
            <w:bookmarkEnd w:id="2"/>
          </w:p>
        </w:tc>
      </w:tr>
      <w:tr w:rsidR="007525CD" w:rsidTr="007525CD">
        <w:trPr>
          <w:trHeight w:val="567"/>
        </w:trPr>
        <w:tc>
          <w:tcPr>
            <w:tcW w:w="9747" w:type="dxa"/>
            <w:hideMark/>
          </w:tcPr>
          <w:p w:rsidR="007525CD" w:rsidRDefault="007525CD" w:rsidP="00717A10">
            <w:pPr>
              <w:pStyle w:val="Nadpis2"/>
              <w:numPr>
                <w:ilvl w:val="1"/>
                <w:numId w:val="2"/>
              </w:numPr>
              <w:rPr>
                <w:szCs w:val="22"/>
              </w:rPr>
            </w:pPr>
            <w:r>
              <w:rPr>
                <w:szCs w:val="22"/>
              </w:rPr>
              <w:t xml:space="preserve">Odberné miesta sa nachádzajú v objekte </w:t>
            </w:r>
            <w:proofErr w:type="spellStart"/>
            <w:r>
              <w:rPr>
                <w:szCs w:val="22"/>
              </w:rPr>
              <w:t>Blumental</w:t>
            </w:r>
            <w:proofErr w:type="spellEnd"/>
            <w:r>
              <w:rPr>
                <w:szCs w:val="22"/>
              </w:rPr>
              <w:t xml:space="preserve"> Office I, v priestoroch ktoré sú predmetom nájmu podľa </w:t>
            </w:r>
            <w:r w:rsidR="005000A9">
              <w:rPr>
                <w:szCs w:val="22"/>
              </w:rPr>
              <w:t>Nájomnej zmluvy</w:t>
            </w:r>
            <w:r>
              <w:rPr>
                <w:szCs w:val="22"/>
              </w:rPr>
              <w:t>.</w:t>
            </w:r>
          </w:p>
        </w:tc>
      </w:tr>
      <w:tr w:rsidR="007525CD" w:rsidTr="007525CD">
        <w:tc>
          <w:tcPr>
            <w:tcW w:w="9747" w:type="dxa"/>
            <w:hideMark/>
          </w:tcPr>
          <w:p w:rsidR="007525CD" w:rsidRDefault="007525CD" w:rsidP="00717A10">
            <w:pPr>
              <w:pStyle w:val="Nadpis2"/>
              <w:numPr>
                <w:ilvl w:val="1"/>
                <w:numId w:val="2"/>
              </w:numPr>
              <w:rPr>
                <w:szCs w:val="22"/>
              </w:rPr>
            </w:pPr>
            <w:bookmarkStart w:id="3" w:name="_Ref417391230"/>
            <w:r>
              <w:rPr>
                <w:szCs w:val="22"/>
              </w:rPr>
              <w:t>Špecifikácia odberných miest:</w:t>
            </w:r>
            <w:bookmarkEnd w:id="3"/>
          </w:p>
          <w:tbl>
            <w:tblPr>
              <w:tblW w:w="9096"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1564"/>
              <w:gridCol w:w="1276"/>
              <w:gridCol w:w="1418"/>
              <w:gridCol w:w="1417"/>
              <w:gridCol w:w="1507"/>
              <w:gridCol w:w="1078"/>
            </w:tblGrid>
            <w:tr w:rsidR="007525CD">
              <w:tc>
                <w:tcPr>
                  <w:tcW w:w="836" w:type="dxa"/>
                  <w:tcBorders>
                    <w:top w:val="single" w:sz="4" w:space="0" w:color="auto"/>
                    <w:left w:val="single" w:sz="4" w:space="0" w:color="auto"/>
                    <w:bottom w:val="single" w:sz="4" w:space="0" w:color="auto"/>
                    <w:right w:val="single" w:sz="4" w:space="0" w:color="auto"/>
                  </w:tcBorders>
                  <w:vAlign w:val="center"/>
                  <w:hideMark/>
                </w:tcPr>
                <w:p w:rsidR="007525CD" w:rsidRDefault="007525CD">
                  <w:pPr>
                    <w:widowControl w:val="0"/>
                    <w:tabs>
                      <w:tab w:val="num" w:pos="5070"/>
                    </w:tabs>
                    <w:spacing w:after="60"/>
                    <w:jc w:val="center"/>
                    <w:rPr>
                      <w:sz w:val="18"/>
                      <w:szCs w:val="18"/>
                    </w:rPr>
                  </w:pPr>
                  <w:r>
                    <w:rPr>
                      <w:sz w:val="18"/>
                      <w:szCs w:val="18"/>
                    </w:rPr>
                    <w:t>Odberné miesto</w:t>
                  </w:r>
                </w:p>
              </w:tc>
              <w:tc>
                <w:tcPr>
                  <w:tcW w:w="1564" w:type="dxa"/>
                  <w:tcBorders>
                    <w:top w:val="single" w:sz="4" w:space="0" w:color="auto"/>
                    <w:left w:val="single" w:sz="4" w:space="0" w:color="auto"/>
                    <w:bottom w:val="single" w:sz="4" w:space="0" w:color="auto"/>
                    <w:right w:val="single" w:sz="4" w:space="0" w:color="auto"/>
                  </w:tcBorders>
                  <w:vAlign w:val="center"/>
                  <w:hideMark/>
                </w:tcPr>
                <w:p w:rsidR="007525CD" w:rsidRDefault="007525CD">
                  <w:pPr>
                    <w:widowControl w:val="0"/>
                    <w:tabs>
                      <w:tab w:val="num" w:pos="5070"/>
                    </w:tabs>
                    <w:spacing w:after="60"/>
                    <w:jc w:val="center"/>
                    <w:rPr>
                      <w:sz w:val="18"/>
                      <w:szCs w:val="18"/>
                    </w:rPr>
                  </w:pPr>
                  <w:r>
                    <w:rPr>
                      <w:sz w:val="18"/>
                      <w:szCs w:val="18"/>
                    </w:rPr>
                    <w:t>Označenie priestorov</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25CD" w:rsidRDefault="007525CD">
                  <w:pPr>
                    <w:widowControl w:val="0"/>
                    <w:tabs>
                      <w:tab w:val="num" w:pos="5070"/>
                    </w:tabs>
                    <w:spacing w:after="60"/>
                    <w:jc w:val="center"/>
                    <w:rPr>
                      <w:sz w:val="18"/>
                      <w:szCs w:val="18"/>
                    </w:rPr>
                  </w:pPr>
                  <w:r>
                    <w:rPr>
                      <w:sz w:val="18"/>
                      <w:szCs w:val="18"/>
                    </w:rPr>
                    <w:t>Číslo meracieho zariadenia</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25CD" w:rsidRDefault="007525CD">
                  <w:pPr>
                    <w:widowControl w:val="0"/>
                    <w:tabs>
                      <w:tab w:val="num" w:pos="5070"/>
                    </w:tabs>
                    <w:spacing w:after="60"/>
                    <w:jc w:val="center"/>
                    <w:rPr>
                      <w:sz w:val="18"/>
                      <w:szCs w:val="18"/>
                    </w:rPr>
                  </w:pPr>
                  <w:r>
                    <w:rPr>
                      <w:sz w:val="18"/>
                      <w:szCs w:val="18"/>
                    </w:rPr>
                    <w:t>EIC</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25CD" w:rsidRDefault="007525CD">
                  <w:pPr>
                    <w:widowControl w:val="0"/>
                    <w:tabs>
                      <w:tab w:val="num" w:pos="5070"/>
                    </w:tabs>
                    <w:jc w:val="center"/>
                    <w:rPr>
                      <w:sz w:val="18"/>
                      <w:szCs w:val="18"/>
                    </w:rPr>
                  </w:pPr>
                  <w:r>
                    <w:rPr>
                      <w:sz w:val="18"/>
                      <w:szCs w:val="18"/>
                    </w:rPr>
                    <w:t>Predpokladaná spotreba (v kWh/rok)</w:t>
                  </w:r>
                </w:p>
              </w:tc>
              <w:tc>
                <w:tcPr>
                  <w:tcW w:w="1507" w:type="dxa"/>
                  <w:tcBorders>
                    <w:top w:val="single" w:sz="4" w:space="0" w:color="auto"/>
                    <w:left w:val="single" w:sz="4" w:space="0" w:color="auto"/>
                    <w:bottom w:val="single" w:sz="4" w:space="0" w:color="auto"/>
                    <w:right w:val="single" w:sz="4" w:space="0" w:color="auto"/>
                  </w:tcBorders>
                  <w:vAlign w:val="center"/>
                  <w:hideMark/>
                </w:tcPr>
                <w:p w:rsidR="007525CD" w:rsidRDefault="007525CD">
                  <w:pPr>
                    <w:widowControl w:val="0"/>
                    <w:tabs>
                      <w:tab w:val="num" w:pos="5070"/>
                    </w:tabs>
                    <w:spacing w:after="60"/>
                    <w:jc w:val="center"/>
                    <w:rPr>
                      <w:sz w:val="18"/>
                      <w:szCs w:val="18"/>
                    </w:rPr>
                  </w:pPr>
                  <w:r>
                    <w:rPr>
                      <w:sz w:val="18"/>
                      <w:szCs w:val="18"/>
                    </w:rPr>
                    <w:t>Maximálna rezervovaná kapacita pripojenia (v A)</w:t>
                  </w:r>
                </w:p>
              </w:tc>
              <w:tc>
                <w:tcPr>
                  <w:tcW w:w="1078" w:type="dxa"/>
                  <w:tcBorders>
                    <w:top w:val="single" w:sz="4" w:space="0" w:color="auto"/>
                    <w:left w:val="single" w:sz="4" w:space="0" w:color="auto"/>
                    <w:bottom w:val="single" w:sz="4" w:space="0" w:color="auto"/>
                    <w:right w:val="single" w:sz="4" w:space="0" w:color="auto"/>
                  </w:tcBorders>
                  <w:vAlign w:val="center"/>
                  <w:hideMark/>
                </w:tcPr>
                <w:p w:rsidR="007525CD" w:rsidRDefault="007525CD">
                  <w:pPr>
                    <w:widowControl w:val="0"/>
                    <w:tabs>
                      <w:tab w:val="num" w:pos="5070"/>
                    </w:tabs>
                    <w:spacing w:after="60"/>
                    <w:jc w:val="center"/>
                    <w:rPr>
                      <w:sz w:val="18"/>
                      <w:szCs w:val="18"/>
                    </w:rPr>
                  </w:pPr>
                  <w:r>
                    <w:rPr>
                      <w:sz w:val="18"/>
                      <w:szCs w:val="18"/>
                    </w:rPr>
                    <w:t>Napäťová hladina</w:t>
                  </w:r>
                </w:p>
              </w:tc>
            </w:tr>
            <w:tr w:rsidR="007525CD">
              <w:tc>
                <w:tcPr>
                  <w:tcW w:w="836" w:type="dxa"/>
                  <w:tcBorders>
                    <w:top w:val="single" w:sz="4" w:space="0" w:color="auto"/>
                    <w:left w:val="single" w:sz="4" w:space="0" w:color="auto"/>
                    <w:bottom w:val="single" w:sz="4" w:space="0" w:color="auto"/>
                    <w:right w:val="single" w:sz="4" w:space="0" w:color="auto"/>
                  </w:tcBorders>
                  <w:vAlign w:val="center"/>
                  <w:hideMark/>
                </w:tcPr>
                <w:p w:rsidR="007525CD" w:rsidRDefault="007525CD">
                  <w:pPr>
                    <w:widowControl w:val="0"/>
                    <w:tabs>
                      <w:tab w:val="num" w:pos="5070"/>
                    </w:tabs>
                    <w:spacing w:before="60" w:after="60"/>
                    <w:jc w:val="center"/>
                    <w:rPr>
                      <w:sz w:val="18"/>
                      <w:szCs w:val="18"/>
                    </w:rPr>
                  </w:pPr>
                  <w:r>
                    <w:rPr>
                      <w:sz w:val="18"/>
                      <w:szCs w:val="18"/>
                    </w:rPr>
                    <w:t>1.</w:t>
                  </w:r>
                </w:p>
              </w:tc>
              <w:tc>
                <w:tcPr>
                  <w:tcW w:w="1564" w:type="dxa"/>
                  <w:tcBorders>
                    <w:top w:val="single" w:sz="4" w:space="0" w:color="auto"/>
                    <w:left w:val="single" w:sz="4" w:space="0" w:color="auto"/>
                    <w:bottom w:val="single" w:sz="4" w:space="0" w:color="auto"/>
                    <w:right w:val="single" w:sz="4" w:space="0" w:color="auto"/>
                  </w:tcBorders>
                  <w:vAlign w:val="center"/>
                </w:tcPr>
                <w:p w:rsidR="007525CD" w:rsidRDefault="007525CD">
                  <w:pPr>
                    <w:widowControl w:val="0"/>
                    <w:tabs>
                      <w:tab w:val="num" w:pos="5070"/>
                    </w:tabs>
                    <w:spacing w:before="60" w:after="6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525CD" w:rsidRDefault="007525CD">
                  <w:pPr>
                    <w:widowControl w:val="0"/>
                    <w:tabs>
                      <w:tab w:val="num" w:pos="5070"/>
                    </w:tabs>
                    <w:spacing w:before="60" w:after="60"/>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7525CD" w:rsidRDefault="007525CD">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525CD" w:rsidRDefault="007525CD">
                  <w:pPr>
                    <w:widowControl w:val="0"/>
                    <w:tabs>
                      <w:tab w:val="num" w:pos="5070"/>
                    </w:tabs>
                    <w:spacing w:before="60" w:after="60"/>
                    <w:jc w:val="center"/>
                    <w:rPr>
                      <w:sz w:val="18"/>
                      <w:szCs w:val="18"/>
                    </w:rPr>
                  </w:pPr>
                </w:p>
              </w:tc>
              <w:tc>
                <w:tcPr>
                  <w:tcW w:w="1507" w:type="dxa"/>
                  <w:tcBorders>
                    <w:top w:val="single" w:sz="4" w:space="0" w:color="auto"/>
                    <w:left w:val="single" w:sz="4" w:space="0" w:color="auto"/>
                    <w:bottom w:val="single" w:sz="4" w:space="0" w:color="auto"/>
                    <w:right w:val="single" w:sz="4" w:space="0" w:color="auto"/>
                  </w:tcBorders>
                  <w:vAlign w:val="center"/>
                </w:tcPr>
                <w:p w:rsidR="007525CD" w:rsidRDefault="007525CD">
                  <w:pPr>
                    <w:widowControl w:val="0"/>
                    <w:tabs>
                      <w:tab w:val="num" w:pos="5070"/>
                    </w:tabs>
                    <w:spacing w:before="60" w:after="60"/>
                    <w:jc w:val="center"/>
                    <w:rPr>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7525CD" w:rsidRDefault="007525CD">
                  <w:pPr>
                    <w:widowControl w:val="0"/>
                    <w:tabs>
                      <w:tab w:val="num" w:pos="5070"/>
                    </w:tabs>
                    <w:spacing w:before="60" w:after="60"/>
                    <w:jc w:val="center"/>
                    <w:rPr>
                      <w:sz w:val="18"/>
                      <w:szCs w:val="18"/>
                    </w:rPr>
                  </w:pPr>
                  <w:r>
                    <w:rPr>
                      <w:sz w:val="18"/>
                      <w:szCs w:val="18"/>
                    </w:rPr>
                    <w:t>NN</w:t>
                  </w:r>
                </w:p>
              </w:tc>
            </w:tr>
          </w:tbl>
          <w:p w:rsidR="007525CD" w:rsidRDefault="007525CD">
            <w:pPr>
              <w:widowControl w:val="0"/>
              <w:spacing w:after="240"/>
              <w:rPr>
                <w:szCs w:val="22"/>
              </w:rPr>
            </w:pPr>
          </w:p>
        </w:tc>
      </w:tr>
      <w:tr w:rsidR="007525CD" w:rsidTr="007525CD">
        <w:trPr>
          <w:trHeight w:val="544"/>
        </w:trPr>
        <w:tc>
          <w:tcPr>
            <w:tcW w:w="9747" w:type="dxa"/>
            <w:hideMark/>
          </w:tcPr>
          <w:p w:rsidR="007525CD" w:rsidRDefault="007525CD" w:rsidP="00717A10">
            <w:pPr>
              <w:pStyle w:val="Nadpis1"/>
              <w:numPr>
                <w:ilvl w:val="0"/>
                <w:numId w:val="2"/>
              </w:numPr>
              <w:rPr>
                <w:szCs w:val="22"/>
              </w:rPr>
            </w:pPr>
            <w:bookmarkStart w:id="4" w:name="_Ref417389513"/>
            <w:r>
              <w:rPr>
                <w:szCs w:val="22"/>
              </w:rPr>
              <w:t>Cena a platobné podmienky</w:t>
            </w:r>
            <w:bookmarkEnd w:id="4"/>
          </w:p>
        </w:tc>
      </w:tr>
      <w:tr w:rsidR="007525CD" w:rsidTr="007525CD">
        <w:tc>
          <w:tcPr>
            <w:tcW w:w="9747" w:type="dxa"/>
            <w:hideMark/>
          </w:tcPr>
          <w:p w:rsidR="007525CD" w:rsidRDefault="007525CD" w:rsidP="00717A10">
            <w:pPr>
              <w:pStyle w:val="Nadpis2"/>
              <w:numPr>
                <w:ilvl w:val="1"/>
                <w:numId w:val="2"/>
              </w:numPr>
              <w:rPr>
                <w:szCs w:val="22"/>
              </w:rPr>
            </w:pPr>
            <w:r>
              <w:rPr>
                <w:szCs w:val="22"/>
              </w:rPr>
              <w:t>Zmluvné strany sa týmto dohodli na cene za dodávku silovej elektriny podľa tejto Zmluvy nasledovne:</w:t>
            </w:r>
          </w:p>
          <w:p w:rsidR="007525CD" w:rsidRDefault="007525CD">
            <w:pPr>
              <w:ind w:left="567"/>
              <w:rPr>
                <w:szCs w:val="22"/>
              </w:rPr>
            </w:pPr>
            <w:r>
              <w:rPr>
                <w:szCs w:val="22"/>
              </w:rPr>
              <w:t xml:space="preserve">obdobie: kalendárny rok 2017, </w:t>
            </w:r>
            <w:proofErr w:type="spellStart"/>
            <w:r>
              <w:rPr>
                <w:szCs w:val="22"/>
              </w:rPr>
              <w:t>jednotarif</w:t>
            </w:r>
            <w:proofErr w:type="spellEnd"/>
            <w:r>
              <w:rPr>
                <w:szCs w:val="22"/>
              </w:rPr>
              <w:t xml:space="preserve"> = </w:t>
            </w:r>
            <w:r w:rsidR="005000A9">
              <w:rPr>
                <w:szCs w:val="22"/>
              </w:rPr>
              <w:t xml:space="preserve">      </w:t>
            </w:r>
            <w:r>
              <w:rPr>
                <w:szCs w:val="22"/>
              </w:rPr>
              <w:t>EUR / MWh + DPH</w:t>
            </w:r>
            <w:r w:rsidR="005000A9">
              <w:rPr>
                <w:szCs w:val="22"/>
              </w:rPr>
              <w:t xml:space="preserve"> </w:t>
            </w:r>
            <w:r>
              <w:rPr>
                <w:szCs w:val="22"/>
              </w:rPr>
              <w:t>a spotrebná daň v aktuálnych sadzbách podľa príslušných právnych predpisov.</w:t>
            </w:r>
          </w:p>
        </w:tc>
      </w:tr>
      <w:tr w:rsidR="007525CD" w:rsidTr="007525CD">
        <w:tc>
          <w:tcPr>
            <w:tcW w:w="9747" w:type="dxa"/>
            <w:hideMark/>
          </w:tcPr>
          <w:p w:rsidR="007525CD" w:rsidRDefault="007525CD" w:rsidP="00717A10">
            <w:pPr>
              <w:pStyle w:val="Nadpis2"/>
              <w:numPr>
                <w:ilvl w:val="1"/>
                <w:numId w:val="2"/>
              </w:numPr>
              <w:rPr>
                <w:szCs w:val="22"/>
              </w:rPr>
            </w:pPr>
            <w:bookmarkStart w:id="5" w:name="_Ref417389525"/>
            <w:r>
              <w:rPr>
                <w:szCs w:val="22"/>
              </w:rPr>
              <w:t>Dodávateľ môže na každé nasledujúce obdobie zmeniť cenu za dodávku elektriny, pričom môže zmeniť aj dĺžku obdobia a určiť ho inak ako kalendárny rok. Akceptácia zmeny Odberateľom sa uskutoční v súlade s OP.</w:t>
            </w:r>
            <w:bookmarkEnd w:id="5"/>
          </w:p>
        </w:tc>
      </w:tr>
      <w:tr w:rsidR="007525CD" w:rsidTr="007525CD">
        <w:tc>
          <w:tcPr>
            <w:tcW w:w="9747" w:type="dxa"/>
            <w:hideMark/>
          </w:tcPr>
          <w:p w:rsidR="007525CD" w:rsidRDefault="007525CD" w:rsidP="00717A10">
            <w:pPr>
              <w:pStyle w:val="Nadpis2"/>
              <w:numPr>
                <w:ilvl w:val="1"/>
                <w:numId w:val="2"/>
              </w:numPr>
              <w:rPr>
                <w:szCs w:val="22"/>
              </w:rPr>
            </w:pPr>
            <w:bookmarkStart w:id="6" w:name="_Ref417389598"/>
            <w:r>
              <w:rPr>
                <w:szCs w:val="22"/>
              </w:rPr>
              <w:t>Okrem ceny za dodávku elektriny je Odberateľ povinný zaplatiť Dodávateľovi tiež cenu za distribúciu elektriny.</w:t>
            </w:r>
            <w:bookmarkStart w:id="7" w:name="_Ref255807230"/>
            <w:r>
              <w:rPr>
                <w:szCs w:val="22"/>
              </w:rPr>
              <w:t xml:space="preserve"> Cena za distribúciu elektriny a ďalšie regulované služby predstavuje vždy cenu určenú alebo schválenú platným cenovým rozhodnutím ÚRSO o cene za prístup do miestnej distribučnej sústavy a distribúciu elektriny </w:t>
            </w:r>
            <w:r>
              <w:rPr>
                <w:snapToGrid w:val="0"/>
                <w:szCs w:val="22"/>
              </w:rPr>
              <w:t xml:space="preserve">a </w:t>
            </w:r>
            <w:r>
              <w:rPr>
                <w:szCs w:val="22"/>
              </w:rPr>
              <w:t>prípadné</w:t>
            </w:r>
            <w:r>
              <w:rPr>
                <w:snapToGrid w:val="0"/>
                <w:szCs w:val="22"/>
              </w:rPr>
              <w:t xml:space="preserve"> ďalšie regulované platby, ktoré sú stanovené ako pevné príslušným cenovým rozhodnutím ÚRSO s tým, že Zmluvné strany si nemôžu dohodnúť ceny iné. Pokiaľ sa v dobe účinnosti tejto Zmluvy zmenia cenové rozhodnutia ÚRSO, z ktorých vychádzajú ustanovenia tejto Zmluvy o cene plnenia, má toto rozhodnutie prednosť pred týmito ustanoveniami tejto Zmluvy a Dodávateľ je povinný v týchto cenách i účtovať. S týmto prípadným postupom je Odberateľ oboznámený, nemá proti nemu námietky a zaväzuje sa hradiť Dodávateľovi cenu plnenia v súlade s príslušnými právnymi predpismi a rozhodnutiami ÚRSO.</w:t>
            </w:r>
            <w:bookmarkEnd w:id="6"/>
            <w:bookmarkEnd w:id="7"/>
          </w:p>
        </w:tc>
      </w:tr>
      <w:tr w:rsidR="007525CD" w:rsidTr="007525CD">
        <w:tc>
          <w:tcPr>
            <w:tcW w:w="9747" w:type="dxa"/>
            <w:hideMark/>
          </w:tcPr>
          <w:p w:rsidR="007525CD" w:rsidRDefault="007525CD" w:rsidP="00717A10">
            <w:pPr>
              <w:pStyle w:val="Nadpis2"/>
              <w:numPr>
                <w:ilvl w:val="1"/>
                <w:numId w:val="2"/>
              </w:numPr>
              <w:rPr>
                <w:szCs w:val="22"/>
              </w:rPr>
            </w:pPr>
            <w:r>
              <w:rPr>
                <w:snapToGrid w:val="0"/>
                <w:szCs w:val="22"/>
              </w:rPr>
              <w:t>Dodávateľ vykonáva vyúčtovanie dodanej elektriny, distribučných služieb a ďalších súvisiacich platieb podľa tejto Zmluvy faktúrou za každý kalendárny mesiac (ďalej len „</w:t>
            </w:r>
            <w:r>
              <w:rPr>
                <w:b/>
                <w:snapToGrid w:val="0"/>
                <w:szCs w:val="22"/>
              </w:rPr>
              <w:t>Fakturačné obdobie</w:t>
            </w:r>
            <w:r>
              <w:rPr>
                <w:snapToGrid w:val="0"/>
                <w:szCs w:val="22"/>
              </w:rPr>
              <w:t>“), a to na základe výsledkov merania skutočne dodanej elektriny. Faktúra bude vystavená pozadu, vždy najneskôr do 15. dňa kalendárneho mesiaca nasledujúceho po konci Fakturačného obdobia, ktorého sa vyúčtovanie týka. Deň dodania je deň vystavenia faktúry v zmysle § 19 ods. 3 písm. c) Zákona č. 222/2004 Z. z. o dani z pridanej hodnoty v platnom znení. Splatnosť faktúr je</w:t>
            </w:r>
            <w:r>
              <w:rPr>
                <w:szCs w:val="22"/>
              </w:rPr>
              <w:t>14</w:t>
            </w:r>
            <w:r>
              <w:rPr>
                <w:snapToGrid w:val="0"/>
                <w:szCs w:val="22"/>
              </w:rPr>
              <w:t xml:space="preserve"> dní od dátumu vystavenia faktúry Dodávateľom.</w:t>
            </w:r>
          </w:p>
        </w:tc>
      </w:tr>
      <w:tr w:rsidR="007525CD" w:rsidTr="007525CD">
        <w:tc>
          <w:tcPr>
            <w:tcW w:w="9747" w:type="dxa"/>
            <w:hideMark/>
          </w:tcPr>
          <w:p w:rsidR="007525CD" w:rsidRDefault="007525CD" w:rsidP="00717A10">
            <w:pPr>
              <w:pStyle w:val="Nadpis2"/>
              <w:numPr>
                <w:ilvl w:val="1"/>
                <w:numId w:val="2"/>
              </w:numPr>
              <w:rPr>
                <w:szCs w:val="22"/>
              </w:rPr>
            </w:pPr>
            <w:r>
              <w:rPr>
                <w:szCs w:val="22"/>
              </w:rPr>
              <w:t>Plnenia akýchkoľvek peňažných záväzkov podľa tejto Zmluvy sa vykonávajú výlučne prevodom alebo vkladom na bankový účet Zmluvnej strany uvedený na faktúre alebo inak oznámený druhej Zmluvnej strane.</w:t>
            </w:r>
          </w:p>
        </w:tc>
      </w:tr>
      <w:tr w:rsidR="007525CD" w:rsidTr="007525CD">
        <w:tc>
          <w:tcPr>
            <w:tcW w:w="9747" w:type="dxa"/>
            <w:hideMark/>
          </w:tcPr>
          <w:p w:rsidR="007525CD" w:rsidRDefault="007525CD" w:rsidP="00717A10">
            <w:pPr>
              <w:pStyle w:val="Nadpis1"/>
              <w:numPr>
                <w:ilvl w:val="0"/>
                <w:numId w:val="2"/>
              </w:numPr>
              <w:rPr>
                <w:szCs w:val="22"/>
              </w:rPr>
            </w:pPr>
            <w:bookmarkStart w:id="8" w:name="_Ref417389615"/>
            <w:r>
              <w:rPr>
                <w:szCs w:val="22"/>
              </w:rPr>
              <w:lastRenderedPageBreak/>
              <w:t>Trvanie Zmluvy</w:t>
            </w:r>
            <w:bookmarkEnd w:id="8"/>
          </w:p>
        </w:tc>
      </w:tr>
      <w:tr w:rsidR="007525CD" w:rsidTr="007525CD">
        <w:tc>
          <w:tcPr>
            <w:tcW w:w="9747" w:type="dxa"/>
            <w:hideMark/>
          </w:tcPr>
          <w:p w:rsidR="007525CD" w:rsidRDefault="007525CD" w:rsidP="00717A10">
            <w:pPr>
              <w:pStyle w:val="Nadpis2"/>
              <w:numPr>
                <w:ilvl w:val="1"/>
                <w:numId w:val="2"/>
              </w:numPr>
              <w:rPr>
                <w:b/>
                <w:szCs w:val="22"/>
              </w:rPr>
            </w:pPr>
            <w:r>
              <w:rPr>
                <w:szCs w:val="22"/>
              </w:rPr>
              <w:t xml:space="preserve">Zmluva je uzavretá na dobu určitú v rovnakom trvaní ako je doba nájmu podľa </w:t>
            </w:r>
            <w:r w:rsidR="005000A9">
              <w:rPr>
                <w:szCs w:val="22"/>
              </w:rPr>
              <w:t>Nájomnej zmluvy</w:t>
            </w:r>
            <w:r>
              <w:rPr>
                <w:szCs w:val="22"/>
              </w:rPr>
              <w:t>.</w:t>
            </w:r>
          </w:p>
        </w:tc>
      </w:tr>
      <w:tr w:rsidR="007525CD" w:rsidTr="007525CD">
        <w:tc>
          <w:tcPr>
            <w:tcW w:w="9747" w:type="dxa"/>
            <w:hideMark/>
          </w:tcPr>
          <w:p w:rsidR="007525CD" w:rsidRDefault="007525CD" w:rsidP="00717A10">
            <w:pPr>
              <w:pStyle w:val="Nadpis2"/>
              <w:numPr>
                <w:ilvl w:val="1"/>
                <w:numId w:val="2"/>
              </w:numPr>
              <w:rPr>
                <w:szCs w:val="22"/>
              </w:rPr>
            </w:pPr>
            <w:r>
              <w:rPr>
                <w:szCs w:val="22"/>
              </w:rPr>
              <w:t xml:space="preserve">Dodávateľ začne dodávať elektrinu do odberných miest Odberateľa v deň protokolárneho prevzatia Odberateľom príslušných priestorov, ktoré sú predmetom nájmu podľa </w:t>
            </w:r>
            <w:r w:rsidR="005000A9">
              <w:rPr>
                <w:szCs w:val="22"/>
              </w:rPr>
              <w:t>Nájomnej zmluvy</w:t>
            </w:r>
            <w:r>
              <w:rPr>
                <w:szCs w:val="22"/>
              </w:rPr>
              <w:t>, najskôr však 00.00.201..</w:t>
            </w:r>
          </w:p>
        </w:tc>
      </w:tr>
      <w:tr w:rsidR="007525CD" w:rsidTr="007525CD">
        <w:tc>
          <w:tcPr>
            <w:tcW w:w="9747" w:type="dxa"/>
            <w:hideMark/>
          </w:tcPr>
          <w:p w:rsidR="007525CD" w:rsidRDefault="007525CD" w:rsidP="00717A10">
            <w:pPr>
              <w:pStyle w:val="Nadpis2"/>
              <w:numPr>
                <w:ilvl w:val="1"/>
                <w:numId w:val="2"/>
              </w:numPr>
              <w:rPr>
                <w:szCs w:val="22"/>
              </w:rPr>
            </w:pPr>
            <w:r>
              <w:rPr>
                <w:szCs w:val="22"/>
              </w:rPr>
              <w:t xml:space="preserve">Podmienkou platnosti tejto Zmluvy je trvanie nájmu podľa </w:t>
            </w:r>
            <w:r w:rsidR="005000A9">
              <w:rPr>
                <w:szCs w:val="22"/>
              </w:rPr>
              <w:t>Nájomnej zmluvy</w:t>
            </w:r>
            <w:r>
              <w:rPr>
                <w:szCs w:val="22"/>
              </w:rPr>
              <w:t xml:space="preserve">. V prípade, ak bude doba nájmu podľa </w:t>
            </w:r>
            <w:r w:rsidR="005000A9">
              <w:rPr>
                <w:szCs w:val="22"/>
              </w:rPr>
              <w:t>Nájomnej zmluvy</w:t>
            </w:r>
            <w:r>
              <w:rPr>
                <w:szCs w:val="22"/>
              </w:rPr>
              <w:t xml:space="preserve"> dodatkom predĺžená na ďalšie obdobie, platnosť tejto Zmluvy sa automaticky predĺži o rovnaké obdobie.</w:t>
            </w:r>
          </w:p>
        </w:tc>
      </w:tr>
      <w:tr w:rsidR="007525CD" w:rsidTr="007525CD">
        <w:tc>
          <w:tcPr>
            <w:tcW w:w="9747" w:type="dxa"/>
            <w:hideMark/>
          </w:tcPr>
          <w:p w:rsidR="007525CD" w:rsidRDefault="007525CD" w:rsidP="00717A10">
            <w:pPr>
              <w:pStyle w:val="Nadpis1"/>
              <w:numPr>
                <w:ilvl w:val="0"/>
                <w:numId w:val="2"/>
              </w:numPr>
              <w:rPr>
                <w:szCs w:val="22"/>
              </w:rPr>
            </w:pPr>
            <w:bookmarkStart w:id="9" w:name="_Ref417389618"/>
            <w:r>
              <w:rPr>
                <w:szCs w:val="22"/>
              </w:rPr>
              <w:t>Podmienky dodávky a distribúcie elektriny, práva a povinnosti Zmluvných strán</w:t>
            </w:r>
            <w:bookmarkEnd w:id="9"/>
          </w:p>
        </w:tc>
      </w:tr>
      <w:tr w:rsidR="007525CD" w:rsidTr="007525CD">
        <w:tc>
          <w:tcPr>
            <w:tcW w:w="9747" w:type="dxa"/>
            <w:hideMark/>
          </w:tcPr>
          <w:p w:rsidR="007525CD" w:rsidRDefault="007525CD" w:rsidP="00717A10">
            <w:pPr>
              <w:pStyle w:val="Nadpis2"/>
              <w:numPr>
                <w:ilvl w:val="1"/>
                <w:numId w:val="2"/>
              </w:numPr>
              <w:rPr>
                <w:b/>
                <w:szCs w:val="22"/>
              </w:rPr>
            </w:pPr>
            <w:r>
              <w:rPr>
                <w:szCs w:val="22"/>
              </w:rPr>
              <w:t>Touto Zmluvou sa Dodávateľ zaväzuje zabezpečiť Odberateľovi po splnení podmienok tejto Zmluvy distribúciu elektriny pre jednotlivé odberné miesta.</w:t>
            </w:r>
          </w:p>
        </w:tc>
      </w:tr>
      <w:tr w:rsidR="007525CD" w:rsidTr="007525CD">
        <w:tc>
          <w:tcPr>
            <w:tcW w:w="9747" w:type="dxa"/>
            <w:hideMark/>
          </w:tcPr>
          <w:p w:rsidR="007525CD" w:rsidRDefault="007525CD" w:rsidP="00717A10">
            <w:pPr>
              <w:pStyle w:val="Nadpis2"/>
              <w:numPr>
                <w:ilvl w:val="1"/>
                <w:numId w:val="2"/>
              </w:numPr>
              <w:rPr>
                <w:b/>
                <w:szCs w:val="22"/>
              </w:rPr>
            </w:pPr>
            <w:r>
              <w:rPr>
                <w:szCs w:val="22"/>
              </w:rPr>
              <w:t>Distribúciu elektriny poskytuje Dodávateľ na základe a v súlade s príslušnými zákonmi, vykonávacími právnymi predpismi, OP a Prevádzkovým poriadkom prevádzkovateľa distribučnej sústavy schváleným ÚRSO (ďalej len „</w:t>
            </w:r>
            <w:r>
              <w:rPr>
                <w:b/>
                <w:szCs w:val="22"/>
              </w:rPr>
              <w:t>PPPS</w:t>
            </w:r>
            <w:r>
              <w:rPr>
                <w:szCs w:val="22"/>
              </w:rPr>
              <w:t>“), ktoré sú súhrnom základných pravidiel a postupov pre riešenie vybraných problémov prevádzky a rozvoja miestnej distribučnej sústavy. PPPS sa tiež zaoberá stanovením práv a povinností jednotlivých používateľov danej sústavy. Po schválení ÚRSO sa PPPS stáva záväzným dokumentom pre všetky zúčastnené strany. OP a PPPS sú prístupné na webovej stránke Dodávateľa. Odberateľ vyhlasuje, že sa oboznámil s PPPS v znení platnom a účinnom ku dňu podpisu tejto Zmluvy.</w:t>
            </w:r>
          </w:p>
        </w:tc>
      </w:tr>
      <w:tr w:rsidR="007525CD" w:rsidTr="007525CD">
        <w:tc>
          <w:tcPr>
            <w:tcW w:w="9747" w:type="dxa"/>
            <w:hideMark/>
          </w:tcPr>
          <w:p w:rsidR="007525CD" w:rsidRDefault="007525CD" w:rsidP="00717A10">
            <w:pPr>
              <w:pStyle w:val="Nadpis2"/>
              <w:numPr>
                <w:ilvl w:val="1"/>
                <w:numId w:val="2"/>
              </w:numPr>
              <w:rPr>
                <w:szCs w:val="22"/>
              </w:rPr>
            </w:pPr>
            <w:r>
              <w:rPr>
                <w:szCs w:val="22"/>
              </w:rPr>
              <w:t>Dodávateľ je oprávnený vyžadovať od Odberateľa technické údaje o elektrických zariadeniach a spotrebičoch, ktoré sú napájané z odberného miesta Odberateľa, a Odberateľ je povinný požadované údaje predložiť bez zbytočného odkladu.</w:t>
            </w:r>
          </w:p>
        </w:tc>
      </w:tr>
      <w:tr w:rsidR="007525CD" w:rsidTr="007525CD">
        <w:tc>
          <w:tcPr>
            <w:tcW w:w="9747" w:type="dxa"/>
            <w:hideMark/>
          </w:tcPr>
          <w:p w:rsidR="007525CD" w:rsidRDefault="007525CD" w:rsidP="00717A10">
            <w:pPr>
              <w:pStyle w:val="Nadpis2"/>
              <w:numPr>
                <w:ilvl w:val="1"/>
                <w:numId w:val="2"/>
              </w:numPr>
              <w:rPr>
                <w:szCs w:val="22"/>
              </w:rPr>
            </w:pPr>
            <w:r>
              <w:rPr>
                <w:szCs w:val="22"/>
              </w:rPr>
              <w:t>Odberateľ je povinný udržiavať elektrické zariadenia, ktoré používa v odbernom mieste, v stave, ktorý zodpovedá technickým požiadavkám, a zodpovedá za prípadné škody vzniknuté v dôsledku zlého technického stavu ním prevádzkovaných elektrických zariadení a spotrebičov.</w:t>
            </w:r>
          </w:p>
        </w:tc>
      </w:tr>
      <w:tr w:rsidR="007525CD" w:rsidTr="007525CD">
        <w:tc>
          <w:tcPr>
            <w:tcW w:w="9747" w:type="dxa"/>
            <w:hideMark/>
          </w:tcPr>
          <w:p w:rsidR="007525CD" w:rsidRDefault="007525CD" w:rsidP="00717A10">
            <w:pPr>
              <w:pStyle w:val="Nadpis2"/>
              <w:numPr>
                <w:ilvl w:val="1"/>
                <w:numId w:val="2"/>
              </w:numPr>
              <w:rPr>
                <w:szCs w:val="22"/>
              </w:rPr>
            </w:pPr>
            <w:r>
              <w:rPr>
                <w:szCs w:val="22"/>
              </w:rPr>
              <w:t>Odberateľ je povinný oznámiť Dodávateľovi zmenu akýchkoľvek údajov uvedených v tejto Zmluve bezodkladne, najneskôr do 7 dní odo dňa ich zmeny.</w:t>
            </w:r>
          </w:p>
        </w:tc>
      </w:tr>
      <w:tr w:rsidR="007525CD" w:rsidTr="007525CD">
        <w:tc>
          <w:tcPr>
            <w:tcW w:w="9747" w:type="dxa"/>
            <w:hideMark/>
          </w:tcPr>
          <w:p w:rsidR="007525CD" w:rsidRDefault="007525CD" w:rsidP="00717A10">
            <w:pPr>
              <w:pStyle w:val="Nadpis2"/>
              <w:numPr>
                <w:ilvl w:val="1"/>
                <w:numId w:val="2"/>
              </w:numPr>
              <w:rPr>
                <w:szCs w:val="22"/>
              </w:rPr>
            </w:pPr>
            <w:r>
              <w:rPr>
                <w:szCs w:val="22"/>
              </w:rPr>
              <w:t xml:space="preserve">Dodávateľ je oprávnený (previesť) postúpiť na tretiu osobu akékoľvek právo (pohľadávku) voči Odberateľovi vyplývajúce z tejto Zmluvy a Odberateľ podpisom tejto Zmluvy dáva Dodávateľovi súhlas k akémukoľvek takémuto budúcemu prevodu (postúpeniu) práv (pohľadávok).  </w:t>
            </w:r>
          </w:p>
        </w:tc>
      </w:tr>
      <w:tr w:rsidR="007525CD" w:rsidTr="007525CD">
        <w:tc>
          <w:tcPr>
            <w:tcW w:w="9747" w:type="dxa"/>
            <w:hideMark/>
          </w:tcPr>
          <w:p w:rsidR="007525CD" w:rsidRDefault="007525CD" w:rsidP="00717A10">
            <w:pPr>
              <w:pStyle w:val="Nadpis2"/>
              <w:numPr>
                <w:ilvl w:val="1"/>
                <w:numId w:val="2"/>
              </w:numPr>
              <w:rPr>
                <w:szCs w:val="22"/>
              </w:rPr>
            </w:pPr>
            <w:r>
              <w:rPr>
                <w:szCs w:val="22"/>
              </w:rPr>
              <w:t xml:space="preserve">Porušenie na strane Odberateľa majúce za následok skončenie platnosti tejto Zmluvy, alebo porušenie na strane Odberateľa ako nájomcu, majúce za následok skončenie platnosti Zmluvy o nájme, zakladá nárok Dodávateľa na zmluvnú pokutu vo výške zodpovedajúcej súčinu (i) ceny za dodávku elektriny platnej v období, v ktorom došlo ku skončeniu platnosti tejto Zmluvy, a (ii) počtu neodobratých kWh z rezervovanej kapacity (predpokladanej spotreby) podľa článku </w:t>
            </w:r>
            <w:r>
              <w:rPr>
                <w:szCs w:val="22"/>
              </w:rPr>
              <w:fldChar w:fldCharType="begin"/>
            </w:r>
            <w:r>
              <w:rPr>
                <w:szCs w:val="22"/>
              </w:rPr>
              <w:instrText xml:space="preserve"> REF _Ref417389463 \r \h </w:instrText>
            </w:r>
            <w:r>
              <w:rPr>
                <w:szCs w:val="22"/>
              </w:rPr>
            </w:r>
            <w:r>
              <w:rPr>
                <w:szCs w:val="22"/>
              </w:rPr>
              <w:fldChar w:fldCharType="separate"/>
            </w:r>
            <w:r>
              <w:rPr>
                <w:szCs w:val="22"/>
              </w:rPr>
              <w:t>2</w:t>
            </w:r>
            <w:r>
              <w:rPr>
                <w:szCs w:val="22"/>
              </w:rPr>
              <w:fldChar w:fldCharType="end"/>
            </w:r>
            <w:r>
              <w:rPr>
                <w:szCs w:val="22"/>
              </w:rPr>
              <w:t xml:space="preserve"> bod </w:t>
            </w:r>
            <w:r>
              <w:rPr>
                <w:szCs w:val="22"/>
              </w:rPr>
              <w:fldChar w:fldCharType="begin"/>
            </w:r>
            <w:r>
              <w:rPr>
                <w:szCs w:val="22"/>
              </w:rPr>
              <w:instrText xml:space="preserve"> REF _Ref417391230 \n \h </w:instrText>
            </w:r>
            <w:r>
              <w:rPr>
                <w:szCs w:val="22"/>
              </w:rPr>
            </w:r>
            <w:r>
              <w:rPr>
                <w:szCs w:val="22"/>
              </w:rPr>
              <w:fldChar w:fldCharType="separate"/>
            </w:r>
            <w:r>
              <w:rPr>
                <w:szCs w:val="22"/>
              </w:rPr>
              <w:t>2.2</w:t>
            </w:r>
            <w:r>
              <w:rPr>
                <w:szCs w:val="22"/>
              </w:rPr>
              <w:fldChar w:fldCharType="end"/>
            </w:r>
            <w:r>
              <w:rPr>
                <w:szCs w:val="22"/>
              </w:rPr>
              <w:t xml:space="preserve"> vyššie určenej pre obdobie, v ktorom došlo ku skončeniu platnosti Zmluvy. Nárok Dodávateľa na náhradu škody nad rámec zmluvnej pokuty zostáva zachovaný.</w:t>
            </w:r>
          </w:p>
        </w:tc>
      </w:tr>
      <w:tr w:rsidR="007525CD" w:rsidTr="007525CD">
        <w:tc>
          <w:tcPr>
            <w:tcW w:w="9747" w:type="dxa"/>
            <w:hideMark/>
          </w:tcPr>
          <w:p w:rsidR="007525CD" w:rsidRDefault="007525CD" w:rsidP="00717A10">
            <w:pPr>
              <w:pStyle w:val="Nadpis2"/>
              <w:numPr>
                <w:ilvl w:val="1"/>
                <w:numId w:val="2"/>
              </w:numPr>
              <w:rPr>
                <w:szCs w:val="22"/>
              </w:rPr>
            </w:pPr>
            <w:r>
              <w:rPr>
                <w:szCs w:val="22"/>
              </w:rPr>
              <w:t xml:space="preserve">Odberateľ je oprávnený postúpiť na tretiu osobu akúkoľvek pohľadávku zo Zmluvy alebo previesť akékoľvek právo alebo povinnosť zo Zmluvy (vrátane v rámci predaja podniku)i ba s predchádzajúcim písomným súhlasom Dodávateľa. </w:t>
            </w:r>
          </w:p>
        </w:tc>
      </w:tr>
      <w:tr w:rsidR="007525CD" w:rsidTr="007525CD">
        <w:tc>
          <w:tcPr>
            <w:tcW w:w="9747" w:type="dxa"/>
            <w:hideMark/>
          </w:tcPr>
          <w:p w:rsidR="007525CD" w:rsidRDefault="007525CD" w:rsidP="00717A10">
            <w:pPr>
              <w:pStyle w:val="Nadpis2"/>
              <w:numPr>
                <w:ilvl w:val="1"/>
                <w:numId w:val="2"/>
              </w:numPr>
              <w:rPr>
                <w:szCs w:val="22"/>
              </w:rPr>
            </w:pPr>
            <w:r>
              <w:rPr>
                <w:szCs w:val="22"/>
              </w:rPr>
              <w:t xml:space="preserve">Odberateľ nemá právo zadržiavať žiadne platby Dodávateľovi z titulu akýchkoľvek svojich nárokov alebo pohľadávok, ani započítať akékoľvek svoje pohľadávky alebo nároky voči akýmkoľvek </w:t>
            </w:r>
            <w:r>
              <w:rPr>
                <w:szCs w:val="22"/>
              </w:rPr>
              <w:lastRenderedPageBreak/>
              <w:t>pohľadávkam alebo nárokom, ktoré má Dodávateľ voči Odberateľovi a ktoré vyplývajú z tejto Zmluvy, a to ani po skončení platnosti Zmluvy z akéhokoľvek dôvodu.</w:t>
            </w:r>
          </w:p>
        </w:tc>
      </w:tr>
      <w:tr w:rsidR="007525CD" w:rsidTr="007525CD">
        <w:tc>
          <w:tcPr>
            <w:tcW w:w="9747" w:type="dxa"/>
            <w:hideMark/>
          </w:tcPr>
          <w:p w:rsidR="007525CD" w:rsidRDefault="007525CD" w:rsidP="00717A10">
            <w:pPr>
              <w:pStyle w:val="Nadpis1"/>
              <w:numPr>
                <w:ilvl w:val="0"/>
                <w:numId w:val="2"/>
              </w:numPr>
              <w:rPr>
                <w:szCs w:val="22"/>
              </w:rPr>
            </w:pPr>
            <w:r>
              <w:rPr>
                <w:szCs w:val="22"/>
              </w:rPr>
              <w:lastRenderedPageBreak/>
              <w:t>Ukončenie a zánik Zmluvy</w:t>
            </w:r>
          </w:p>
        </w:tc>
      </w:tr>
      <w:tr w:rsidR="007525CD" w:rsidTr="007525CD">
        <w:tc>
          <w:tcPr>
            <w:tcW w:w="9747" w:type="dxa"/>
            <w:hideMark/>
          </w:tcPr>
          <w:p w:rsidR="007525CD" w:rsidRDefault="007525CD" w:rsidP="00717A10">
            <w:pPr>
              <w:pStyle w:val="Nadpis2"/>
              <w:numPr>
                <w:ilvl w:val="1"/>
                <w:numId w:val="2"/>
              </w:numPr>
              <w:rPr>
                <w:szCs w:val="22"/>
              </w:rPr>
            </w:pPr>
            <w:r>
              <w:rPr>
                <w:szCs w:val="22"/>
              </w:rPr>
              <w:t xml:space="preserve">V prípade, ak má skončiť platnosť tejto Zmluvy výpoveďou alebo odstúpením, a zároveň nájom podľa </w:t>
            </w:r>
            <w:r w:rsidR="005000A9">
              <w:rPr>
                <w:szCs w:val="22"/>
              </w:rPr>
              <w:t>Nájomnej zmluvy</w:t>
            </w:r>
            <w:r>
              <w:rPr>
                <w:szCs w:val="22"/>
              </w:rPr>
              <w:t xml:space="preserve"> má pokračovať ďalej aj po takom skončení platnosti tejto Zmluvy, tak (bez ohľadu na to, či došlo k výpovedi alebo k odstúpeniu od tejto Zmluvy):</w:t>
            </w:r>
          </w:p>
        </w:tc>
      </w:tr>
      <w:tr w:rsidR="007525CD" w:rsidTr="007525CD">
        <w:tc>
          <w:tcPr>
            <w:tcW w:w="9747" w:type="dxa"/>
            <w:hideMark/>
          </w:tcPr>
          <w:p w:rsidR="007525CD" w:rsidRDefault="007525CD" w:rsidP="00717A10">
            <w:pPr>
              <w:pStyle w:val="Nadpis3"/>
              <w:numPr>
                <w:ilvl w:val="2"/>
                <w:numId w:val="2"/>
              </w:numPr>
              <w:rPr>
                <w:szCs w:val="22"/>
              </w:rPr>
            </w:pPr>
            <w:bookmarkStart w:id="10" w:name="_Ref417389554"/>
            <w:r>
              <w:rPr>
                <w:szCs w:val="22"/>
              </w:rPr>
              <w:t xml:space="preserve">Odberateľ je povinný v lehote do konca kalendárneho mesiaca nasledujúceho po mesiaci, v ktorom bola výpoveď alebo odstúpenie doručené druhej Zmluvnej strane, uzatvoriť s iným dodávateľom zmluvu o dodávke elektriny alebo zmluvu o združenej dodávke elektriny tak, aby bola zabezpečená kontinuálna dodávka elektriny do odberného miesta špecifikovaného v článku </w:t>
            </w:r>
            <w:r>
              <w:fldChar w:fldCharType="begin"/>
            </w:r>
            <w:r>
              <w:rPr>
                <w:szCs w:val="22"/>
              </w:rPr>
              <w:instrText xml:space="preserve"> REF _Ref417389463 \n \h </w:instrText>
            </w:r>
            <w:r>
              <w:fldChar w:fldCharType="separate"/>
            </w:r>
            <w:r>
              <w:rPr>
                <w:szCs w:val="22"/>
              </w:rPr>
              <w:t>2</w:t>
            </w:r>
            <w:r>
              <w:fldChar w:fldCharType="end"/>
            </w:r>
            <w:r>
              <w:rPr>
                <w:szCs w:val="22"/>
              </w:rPr>
              <w:t xml:space="preserve"> Zmluvy, pričom Odberateľ berie na vedomie, že podmienkou dodávky elektriny do odberného miesta Odberateľa iným dodávateľom je uzatvorenie rámcovej zmluvy o prístupe do MDS medzi Dodávateľom a zvoleným iným dodávateľom; ak o to Dodávateľ požiada, Odberateľ je povinný mu bez zbytočného odkladu predložiť zmluvu o dodávke elektriny alebo zmluvu o združenej dodávke elektriny uzatvorenú s iným dodávateľom;</w:t>
            </w:r>
            <w:bookmarkEnd w:id="10"/>
          </w:p>
        </w:tc>
      </w:tr>
      <w:tr w:rsidR="007525CD" w:rsidTr="007525CD">
        <w:tc>
          <w:tcPr>
            <w:tcW w:w="9747" w:type="dxa"/>
            <w:hideMark/>
          </w:tcPr>
          <w:p w:rsidR="007525CD" w:rsidRDefault="007525CD" w:rsidP="00717A10">
            <w:pPr>
              <w:pStyle w:val="Nadpis3"/>
              <w:numPr>
                <w:ilvl w:val="2"/>
                <w:numId w:val="2"/>
              </w:numPr>
              <w:rPr>
                <w:szCs w:val="22"/>
              </w:rPr>
            </w:pPr>
            <w:r>
              <w:rPr>
                <w:szCs w:val="22"/>
              </w:rPr>
              <w:t xml:space="preserve">počas lehoty stanovenej pre Odberateľa v písm. </w:t>
            </w:r>
            <w:r>
              <w:rPr>
                <w:szCs w:val="22"/>
              </w:rPr>
              <w:fldChar w:fldCharType="begin"/>
            </w:r>
            <w:r>
              <w:rPr>
                <w:szCs w:val="22"/>
              </w:rPr>
              <w:instrText xml:space="preserve"> REF _Ref417389554 \r \h </w:instrText>
            </w:r>
            <w:r>
              <w:rPr>
                <w:szCs w:val="22"/>
              </w:rPr>
            </w:r>
            <w:r>
              <w:rPr>
                <w:szCs w:val="22"/>
              </w:rPr>
              <w:fldChar w:fldCharType="separate"/>
            </w:r>
            <w:r>
              <w:rPr>
                <w:szCs w:val="22"/>
              </w:rPr>
              <w:t>a)</w:t>
            </w:r>
            <w:r>
              <w:rPr>
                <w:szCs w:val="22"/>
              </w:rPr>
              <w:fldChar w:fldCharType="end"/>
            </w:r>
            <w:r>
              <w:rPr>
                <w:szCs w:val="22"/>
              </w:rPr>
              <w:t xml:space="preserve"> vyššie, najviac však do dňa bezprostredne predchádzajúceho dňu zmeny dodávateľa elektriny, sa Dodávateľ zaväzuje pokračovať v dodávke elektriny do odberného miesta Odberateľa za podmienok, ktoré boli naposledy dohodnuté Zmluvnými stranami, a Odberateľ sa zaväzuje uhrádzať Dodávateľovi ceny za dodávku a distribúciu elektriny, ktoré boli naposledy dohodnuté Zmluvnými stranami;</w:t>
            </w:r>
          </w:p>
        </w:tc>
      </w:tr>
      <w:tr w:rsidR="007525CD" w:rsidTr="007525CD">
        <w:tc>
          <w:tcPr>
            <w:tcW w:w="9747" w:type="dxa"/>
            <w:hideMark/>
          </w:tcPr>
          <w:p w:rsidR="007525CD" w:rsidRDefault="007525CD" w:rsidP="00717A10">
            <w:pPr>
              <w:pStyle w:val="Nadpis3"/>
              <w:numPr>
                <w:ilvl w:val="2"/>
                <w:numId w:val="2"/>
              </w:numPr>
              <w:rPr>
                <w:szCs w:val="22"/>
              </w:rPr>
            </w:pPr>
            <w:r>
              <w:rPr>
                <w:szCs w:val="22"/>
              </w:rPr>
              <w:t xml:space="preserve">po uplynutí lehoty stanovenej pre Odberateľa v písm. </w:t>
            </w:r>
            <w:r>
              <w:rPr>
                <w:szCs w:val="22"/>
              </w:rPr>
              <w:fldChar w:fldCharType="begin"/>
            </w:r>
            <w:r>
              <w:rPr>
                <w:szCs w:val="22"/>
              </w:rPr>
              <w:instrText xml:space="preserve"> REF _Ref417389554 \r \h </w:instrText>
            </w:r>
            <w:r>
              <w:rPr>
                <w:szCs w:val="22"/>
              </w:rPr>
            </w:r>
            <w:r>
              <w:rPr>
                <w:szCs w:val="22"/>
              </w:rPr>
              <w:fldChar w:fldCharType="separate"/>
            </w:r>
            <w:r>
              <w:rPr>
                <w:szCs w:val="22"/>
              </w:rPr>
              <w:t>a)</w:t>
            </w:r>
            <w:r>
              <w:rPr>
                <w:szCs w:val="22"/>
              </w:rPr>
              <w:fldChar w:fldCharType="end"/>
            </w:r>
            <w:r>
              <w:rPr>
                <w:szCs w:val="22"/>
              </w:rPr>
              <w:t xml:space="preserve">vyššie až do dňa bezprostredne predchádzajúceho dňu zmeny dodávateľa elektriny má Dodávateľ právo pokračovať v dodávke elektriny do odberného miesta Odberateľa za podmienok, ktoré boli naposledy dohodnuté Zmluvnými stranami, a v prípade, ak Dodávateľ v dodávke elektriny pokračuje, Odberateľ sa zaväzuje uhrádzať Dodávateľovi ceny za dodávku a distribúciu elektriny, ktoré boli naposledy dohodnuté Zmluvnými stranami; pre odstránenie pochybností, práva Dodávateľa, ktoré mu vznikajú v prípade porušenia povinnosti Odberateľa podľa písm. </w:t>
            </w:r>
            <w:r>
              <w:rPr>
                <w:szCs w:val="22"/>
              </w:rPr>
              <w:fldChar w:fldCharType="begin"/>
            </w:r>
            <w:r>
              <w:rPr>
                <w:szCs w:val="22"/>
              </w:rPr>
              <w:instrText xml:space="preserve"> REF _Ref417389554 \r \h </w:instrText>
            </w:r>
            <w:r>
              <w:rPr>
                <w:szCs w:val="22"/>
              </w:rPr>
            </w:r>
            <w:r>
              <w:rPr>
                <w:szCs w:val="22"/>
              </w:rPr>
              <w:fldChar w:fldCharType="separate"/>
            </w:r>
            <w:r>
              <w:rPr>
                <w:szCs w:val="22"/>
              </w:rPr>
              <w:t>a)</w:t>
            </w:r>
            <w:r>
              <w:rPr>
                <w:szCs w:val="22"/>
              </w:rPr>
              <w:fldChar w:fldCharType="end"/>
            </w:r>
            <w:r>
              <w:rPr>
                <w:szCs w:val="22"/>
              </w:rPr>
              <w:t>vyššie, týmto nie sú nijako dotknuté.</w:t>
            </w:r>
          </w:p>
        </w:tc>
      </w:tr>
      <w:tr w:rsidR="007525CD" w:rsidTr="007525CD">
        <w:tc>
          <w:tcPr>
            <w:tcW w:w="9747" w:type="dxa"/>
            <w:hideMark/>
          </w:tcPr>
          <w:p w:rsidR="007525CD" w:rsidRDefault="007525CD" w:rsidP="00717A10">
            <w:pPr>
              <w:pStyle w:val="Nadpis2"/>
              <w:numPr>
                <w:ilvl w:val="1"/>
                <w:numId w:val="2"/>
              </w:numPr>
              <w:rPr>
                <w:szCs w:val="22"/>
              </w:rPr>
            </w:pPr>
            <w:r>
              <w:rPr>
                <w:szCs w:val="22"/>
              </w:rPr>
              <w:t>Ak na základe zmien všeobecne záväzných právnych predpisov alebo rozhodnutia verejného orgánu nebude naďalej možné dodávať elektrinu v súlade s touto Zmluvou, v takom prípade Dodávateľ nenesie zodpovednosť za prípadnú škodu ktorá by tým Odberateľovi vznikla.</w:t>
            </w:r>
          </w:p>
        </w:tc>
      </w:tr>
      <w:tr w:rsidR="007525CD" w:rsidTr="007525CD">
        <w:tc>
          <w:tcPr>
            <w:tcW w:w="9747" w:type="dxa"/>
            <w:hideMark/>
          </w:tcPr>
          <w:p w:rsidR="007525CD" w:rsidRDefault="007525CD" w:rsidP="00717A10">
            <w:pPr>
              <w:pStyle w:val="Nadpis2"/>
              <w:numPr>
                <w:ilvl w:val="1"/>
                <w:numId w:val="2"/>
              </w:numPr>
              <w:rPr>
                <w:szCs w:val="22"/>
              </w:rPr>
            </w:pPr>
            <w:r>
              <w:rPr>
                <w:szCs w:val="22"/>
              </w:rPr>
              <w:t xml:space="preserve">Zmluvné strany sa dohodli, že v prípade, ak: (i) platnosť tejto Zmluvy skončí, a zároveň (ii) nájom podľa </w:t>
            </w:r>
            <w:r w:rsidR="005000A9">
              <w:rPr>
                <w:szCs w:val="22"/>
              </w:rPr>
              <w:t>Nájomnej zmluvy</w:t>
            </w:r>
            <w:r>
              <w:rPr>
                <w:szCs w:val="22"/>
              </w:rPr>
              <w:t xml:space="preserve"> pokračuje ďalej, a zároveň (iii) Odberateľ uzatvorí s iným dodávateľom zmluvu o dodávke elektriny do odberného miesta špecifikovaného v článku </w:t>
            </w:r>
            <w:r>
              <w:rPr>
                <w:szCs w:val="22"/>
              </w:rPr>
              <w:fldChar w:fldCharType="begin"/>
            </w:r>
            <w:r>
              <w:rPr>
                <w:szCs w:val="22"/>
              </w:rPr>
              <w:instrText xml:space="preserve"> REF _Ref417389463 \n \h </w:instrText>
            </w:r>
            <w:r>
              <w:rPr>
                <w:szCs w:val="22"/>
              </w:rPr>
            </w:r>
            <w:r>
              <w:rPr>
                <w:szCs w:val="22"/>
              </w:rPr>
              <w:fldChar w:fldCharType="separate"/>
            </w:r>
            <w:r>
              <w:rPr>
                <w:szCs w:val="22"/>
              </w:rPr>
              <w:t>2</w:t>
            </w:r>
            <w:r>
              <w:rPr>
                <w:szCs w:val="22"/>
              </w:rPr>
              <w:fldChar w:fldCharType="end"/>
            </w:r>
            <w:r>
              <w:rPr>
                <w:szCs w:val="22"/>
              </w:rPr>
              <w:t xml:space="preserve"> tejto Zmluvy, predmetom ktorej nebude aj zabezpečenie distribúcie a distribučných služieb, potom všetky ustanovenia tejto Zmluvy, OP, prevádzkového poriadku MDS a technických podmienok MDS, týkajúce sa zabezpečenia distribúcie elektriny do odberného miesta Odberateľa a súvisiacich distribučných služieb, najmä, nie však výlučne, príslušné ustanovenia článku </w:t>
            </w:r>
            <w:r>
              <w:rPr>
                <w:szCs w:val="22"/>
              </w:rPr>
              <w:fldChar w:fldCharType="begin"/>
            </w:r>
            <w:r>
              <w:rPr>
                <w:szCs w:val="22"/>
              </w:rPr>
              <w:instrText xml:space="preserve"> REF _Ref417389585 \r \h </w:instrText>
            </w:r>
            <w:r>
              <w:rPr>
                <w:szCs w:val="22"/>
              </w:rPr>
            </w:r>
            <w:r>
              <w:rPr>
                <w:szCs w:val="22"/>
              </w:rPr>
              <w:fldChar w:fldCharType="separate"/>
            </w:r>
            <w:r>
              <w:rPr>
                <w:szCs w:val="22"/>
              </w:rPr>
              <w:t>1</w:t>
            </w:r>
            <w:r>
              <w:rPr>
                <w:szCs w:val="22"/>
              </w:rPr>
              <w:fldChar w:fldCharType="end"/>
            </w:r>
            <w:r>
              <w:rPr>
                <w:szCs w:val="22"/>
              </w:rPr>
              <w:t xml:space="preserve">, článku </w:t>
            </w:r>
            <w:r>
              <w:rPr>
                <w:szCs w:val="22"/>
              </w:rPr>
              <w:fldChar w:fldCharType="begin"/>
            </w:r>
            <w:r>
              <w:rPr>
                <w:szCs w:val="22"/>
              </w:rPr>
              <w:instrText xml:space="preserve"> REF _Ref417389513 \r \h </w:instrText>
            </w:r>
            <w:r>
              <w:rPr>
                <w:szCs w:val="22"/>
              </w:rPr>
            </w:r>
            <w:r>
              <w:rPr>
                <w:szCs w:val="22"/>
              </w:rPr>
              <w:fldChar w:fldCharType="separate"/>
            </w:r>
            <w:r>
              <w:rPr>
                <w:szCs w:val="22"/>
              </w:rPr>
              <w:t>3</w:t>
            </w:r>
            <w:r>
              <w:rPr>
                <w:szCs w:val="22"/>
              </w:rPr>
              <w:fldChar w:fldCharType="end"/>
            </w:r>
            <w:r>
              <w:rPr>
                <w:szCs w:val="22"/>
              </w:rPr>
              <w:t xml:space="preserve">, bod </w:t>
            </w:r>
            <w:r>
              <w:rPr>
                <w:szCs w:val="22"/>
              </w:rPr>
              <w:fldChar w:fldCharType="begin"/>
            </w:r>
            <w:r>
              <w:rPr>
                <w:szCs w:val="22"/>
              </w:rPr>
              <w:instrText xml:space="preserve"> REF _Ref417389598 \r \h </w:instrText>
            </w:r>
            <w:r>
              <w:rPr>
                <w:szCs w:val="22"/>
              </w:rPr>
            </w:r>
            <w:r>
              <w:rPr>
                <w:szCs w:val="22"/>
              </w:rPr>
              <w:fldChar w:fldCharType="separate"/>
            </w:r>
            <w:r>
              <w:rPr>
                <w:szCs w:val="22"/>
              </w:rPr>
              <w:t>3.3</w:t>
            </w:r>
            <w:r>
              <w:rPr>
                <w:szCs w:val="22"/>
              </w:rPr>
              <w:fldChar w:fldCharType="end"/>
            </w:r>
            <w:r>
              <w:rPr>
                <w:szCs w:val="22"/>
              </w:rPr>
              <w:t xml:space="preserve">, článku </w:t>
            </w:r>
            <w:r>
              <w:rPr>
                <w:szCs w:val="22"/>
              </w:rPr>
              <w:fldChar w:fldCharType="begin"/>
            </w:r>
            <w:r>
              <w:rPr>
                <w:szCs w:val="22"/>
              </w:rPr>
              <w:instrText xml:space="preserve"> REF _Ref417389615 \r \h </w:instrText>
            </w:r>
            <w:r>
              <w:rPr>
                <w:szCs w:val="22"/>
              </w:rPr>
            </w:r>
            <w:r>
              <w:rPr>
                <w:szCs w:val="22"/>
              </w:rPr>
              <w:fldChar w:fldCharType="separate"/>
            </w:r>
            <w:r>
              <w:rPr>
                <w:szCs w:val="22"/>
              </w:rPr>
              <w:t>4</w:t>
            </w:r>
            <w:r>
              <w:rPr>
                <w:szCs w:val="22"/>
              </w:rPr>
              <w:fldChar w:fldCharType="end"/>
            </w:r>
            <w:r>
              <w:rPr>
                <w:szCs w:val="22"/>
              </w:rPr>
              <w:t xml:space="preserve"> a </w:t>
            </w:r>
            <w:r>
              <w:rPr>
                <w:szCs w:val="22"/>
              </w:rPr>
              <w:fldChar w:fldCharType="begin"/>
            </w:r>
            <w:r>
              <w:rPr>
                <w:szCs w:val="22"/>
              </w:rPr>
              <w:instrText xml:space="preserve"> REF _Ref417389618 \r \h </w:instrText>
            </w:r>
            <w:r>
              <w:rPr>
                <w:szCs w:val="22"/>
              </w:rPr>
            </w:r>
            <w:r>
              <w:rPr>
                <w:szCs w:val="22"/>
              </w:rPr>
              <w:fldChar w:fldCharType="separate"/>
            </w:r>
            <w:r>
              <w:rPr>
                <w:szCs w:val="22"/>
              </w:rPr>
              <w:t>5</w:t>
            </w:r>
            <w:r>
              <w:rPr>
                <w:szCs w:val="22"/>
              </w:rPr>
              <w:fldChar w:fldCharType="end"/>
            </w:r>
            <w:r>
              <w:rPr>
                <w:szCs w:val="22"/>
              </w:rPr>
              <w:t xml:space="preserve"> tejto Zmluvy, zostávajú naďalej v platnosti.</w:t>
            </w:r>
          </w:p>
        </w:tc>
      </w:tr>
      <w:tr w:rsidR="007525CD" w:rsidTr="007525CD">
        <w:tc>
          <w:tcPr>
            <w:tcW w:w="9747" w:type="dxa"/>
            <w:hideMark/>
          </w:tcPr>
          <w:p w:rsidR="007525CD" w:rsidRDefault="007525CD" w:rsidP="00717A10">
            <w:pPr>
              <w:pStyle w:val="Nadpis2"/>
              <w:numPr>
                <w:ilvl w:val="1"/>
                <w:numId w:val="2"/>
              </w:numPr>
              <w:rPr>
                <w:szCs w:val="22"/>
              </w:rPr>
            </w:pPr>
            <w:r>
              <w:rPr>
                <w:szCs w:val="22"/>
              </w:rPr>
              <w:t xml:space="preserve">Táto Zmluva automaticky zaniká v deň, v ktorý z akéhokoľvek dôvodu skončí nájom podľa </w:t>
            </w:r>
            <w:r w:rsidR="005000A9">
              <w:rPr>
                <w:szCs w:val="22"/>
              </w:rPr>
              <w:t>Nájomnej zmluvy</w:t>
            </w:r>
            <w:r>
              <w:rPr>
                <w:szCs w:val="22"/>
              </w:rPr>
              <w:t>. Táto Zmluva automaticky zaniká aj v deň, keď zanikne povolenie Prevádzkovateľa v elektroenergetike na dodávku elektriny.</w:t>
            </w:r>
          </w:p>
        </w:tc>
      </w:tr>
      <w:tr w:rsidR="007525CD" w:rsidTr="007525CD">
        <w:tc>
          <w:tcPr>
            <w:tcW w:w="9747" w:type="dxa"/>
            <w:hideMark/>
          </w:tcPr>
          <w:p w:rsidR="007525CD" w:rsidRDefault="007525CD" w:rsidP="00717A10">
            <w:pPr>
              <w:pStyle w:val="Nadpis1"/>
              <w:numPr>
                <w:ilvl w:val="0"/>
                <w:numId w:val="2"/>
              </w:numPr>
              <w:rPr>
                <w:szCs w:val="22"/>
              </w:rPr>
            </w:pPr>
            <w:r>
              <w:rPr>
                <w:szCs w:val="22"/>
              </w:rPr>
              <w:t>Záverečné ustanovenia</w:t>
            </w:r>
          </w:p>
        </w:tc>
      </w:tr>
      <w:tr w:rsidR="007525CD" w:rsidTr="007525CD">
        <w:tc>
          <w:tcPr>
            <w:tcW w:w="9747" w:type="dxa"/>
            <w:hideMark/>
          </w:tcPr>
          <w:p w:rsidR="007525CD" w:rsidRDefault="007525CD" w:rsidP="00717A10">
            <w:pPr>
              <w:pStyle w:val="Nadpis2"/>
              <w:numPr>
                <w:ilvl w:val="1"/>
                <w:numId w:val="2"/>
              </w:numPr>
              <w:rPr>
                <w:szCs w:val="22"/>
              </w:rPr>
            </w:pPr>
            <w:r>
              <w:rPr>
                <w:szCs w:val="22"/>
              </w:rPr>
              <w:t xml:space="preserve">Práva a povinnosti Zmluvných strán týkajúce sa predmetu tejto Zmluvy sa riadia touto Zmluvou, OP, prevádzkovým poriadkom MDS, technickými podmienkami MDS a slovenským právnym poriadkom. </w:t>
            </w:r>
            <w:r>
              <w:rPr>
                <w:szCs w:val="22"/>
              </w:rPr>
              <w:lastRenderedPageBreak/>
              <w:t>Prevádzkový poriadok MDS a technické podmienky MDS sa schvaľujú URSO len v slovenskom jazyku. V prípade rozporov medzi ustanoveniami tejto Zmluvy a OP majú prednosť ustanovenia Zmluvy. Odberateľ svojím podpisom na tejto Zmluve potvrdzuje, že sa v plnom rozsahu oboznámil s obsahom OP, prevádzkového poriadku MDS a technických podmienok MDS.</w:t>
            </w:r>
          </w:p>
        </w:tc>
      </w:tr>
      <w:tr w:rsidR="007525CD" w:rsidTr="007525CD">
        <w:tc>
          <w:tcPr>
            <w:tcW w:w="9747" w:type="dxa"/>
            <w:hideMark/>
          </w:tcPr>
          <w:p w:rsidR="007525CD" w:rsidRDefault="007525CD" w:rsidP="00717A10">
            <w:pPr>
              <w:pStyle w:val="Nadpis2"/>
              <w:numPr>
                <w:ilvl w:val="1"/>
                <w:numId w:val="2"/>
              </w:numPr>
              <w:rPr>
                <w:szCs w:val="22"/>
              </w:rPr>
            </w:pPr>
            <w:r>
              <w:rPr>
                <w:szCs w:val="22"/>
              </w:rPr>
              <w:lastRenderedPageBreak/>
              <w:t>Túto Zmluvu je možné meniť alebo dopĺňať výlučne formou písomných dodatkov podpísaných oboma Zmluvnými stranami, ak nie je touto Zmluvou, OP alebo prevádzkovým poriadkom MDS stanovené inak.</w:t>
            </w:r>
          </w:p>
        </w:tc>
      </w:tr>
      <w:tr w:rsidR="007525CD" w:rsidTr="007525CD">
        <w:tc>
          <w:tcPr>
            <w:tcW w:w="9747" w:type="dxa"/>
            <w:hideMark/>
          </w:tcPr>
          <w:p w:rsidR="007525CD" w:rsidRDefault="007525CD" w:rsidP="00717A10">
            <w:pPr>
              <w:pStyle w:val="Nadpis2"/>
              <w:numPr>
                <w:ilvl w:val="1"/>
                <w:numId w:val="2"/>
              </w:numPr>
              <w:rPr>
                <w:szCs w:val="22"/>
              </w:rPr>
            </w:pPr>
            <w:r>
              <w:rPr>
                <w:szCs w:val="22"/>
              </w:rPr>
              <w:t>Ak niektoré ustanovenia tejto Zmluvy nie sú celkom alebo sčasti platné alebo vykonateľné alebo neskôr stratia platnosť alebo vykonateľnosť, nie je tým dotknutá platnosť ostatných ustanovení. V takomto prípade sa Zmluvné strany zaväzujú bez zbytočného odkladu nahradiť takéto neplatné alebo nevykonateľné ustanovenie (jeho časť) platným a vykonateľným tak, aby bol zachovaný účel sledovaný uzavretím tejto Zmluvy a dotknutým ustanovením.</w:t>
            </w:r>
          </w:p>
        </w:tc>
      </w:tr>
      <w:tr w:rsidR="007525CD" w:rsidTr="007525CD">
        <w:tc>
          <w:tcPr>
            <w:tcW w:w="9747" w:type="dxa"/>
            <w:hideMark/>
          </w:tcPr>
          <w:p w:rsidR="007525CD" w:rsidRDefault="007525CD" w:rsidP="00717A10">
            <w:pPr>
              <w:pStyle w:val="Nadpis2"/>
              <w:numPr>
                <w:ilvl w:val="1"/>
                <w:numId w:val="2"/>
              </w:numPr>
              <w:rPr>
                <w:szCs w:val="22"/>
              </w:rPr>
            </w:pPr>
            <w:r>
              <w:rPr>
                <w:szCs w:val="22"/>
              </w:rPr>
              <w:t xml:space="preserve">Táto Zmluva nadobúda platnosť dňom jej podpísania oboma Zmluvnými stranami a účinnosť 01.01.. Je vyhotovená v dvoch exemplároch v slovenskom jazyku, po jednom exemplári pre každú Zmluvnú stranu. </w:t>
            </w:r>
          </w:p>
        </w:tc>
      </w:tr>
      <w:tr w:rsidR="007525CD" w:rsidTr="007525CD">
        <w:tc>
          <w:tcPr>
            <w:tcW w:w="9747" w:type="dxa"/>
            <w:hideMark/>
          </w:tcPr>
          <w:p w:rsidR="007525CD" w:rsidRDefault="007525CD" w:rsidP="00717A10">
            <w:pPr>
              <w:pStyle w:val="Nadpis2"/>
              <w:numPr>
                <w:ilvl w:val="1"/>
                <w:numId w:val="2"/>
              </w:numPr>
              <w:rPr>
                <w:szCs w:val="22"/>
              </w:rPr>
            </w:pPr>
            <w:r>
              <w:rPr>
                <w:szCs w:val="22"/>
              </w:rPr>
              <w:t>Odberateľ podpisom Zmluvy udeľuje výslovný súhlas s tým, aby údaje súvisiace so vzťahom podľa tejto Zmluvy boli uložené na dátových nosičoch Dodávateľa.</w:t>
            </w:r>
          </w:p>
        </w:tc>
      </w:tr>
    </w:tbl>
    <w:p w:rsidR="007525CD" w:rsidRDefault="007525CD" w:rsidP="007525CD">
      <w:pPr>
        <w:pStyle w:val="NormalNoSpace"/>
      </w:pPr>
    </w:p>
    <w:p w:rsidR="007525CD" w:rsidRDefault="007525CD" w:rsidP="007525CD">
      <w:pPr>
        <w:pStyle w:val="NormalNoSpace"/>
      </w:pPr>
    </w:p>
    <w:p w:rsidR="007525CD" w:rsidRDefault="007525CD" w:rsidP="007525CD">
      <w:pPr>
        <w:pStyle w:val="NormalNoSpace"/>
      </w:pPr>
    </w:p>
    <w:p w:rsidR="007525CD" w:rsidRDefault="007525CD" w:rsidP="007525CD">
      <w:pPr>
        <w:pStyle w:val="NormalNoSpace"/>
      </w:pPr>
    </w:p>
    <w:p w:rsidR="007525CD" w:rsidRDefault="007525CD" w:rsidP="007525CD">
      <w:pPr>
        <w:pStyle w:val="NormalNoSpace"/>
      </w:pPr>
    </w:p>
    <w:tbl>
      <w:tblPr>
        <w:tblW w:w="9315" w:type="dxa"/>
        <w:tblLayout w:type="fixed"/>
        <w:tblLook w:val="04A0" w:firstRow="1" w:lastRow="0" w:firstColumn="1" w:lastColumn="0" w:noHBand="0" w:noVBand="1"/>
      </w:tblPr>
      <w:tblGrid>
        <w:gridCol w:w="4658"/>
        <w:gridCol w:w="4657"/>
      </w:tblGrid>
      <w:tr w:rsidR="007525CD" w:rsidTr="007525CD">
        <w:tc>
          <w:tcPr>
            <w:tcW w:w="4889" w:type="dxa"/>
            <w:hideMark/>
          </w:tcPr>
          <w:p w:rsidR="007525CD" w:rsidRDefault="007525CD">
            <w:pPr>
              <w:pStyle w:val="NormalNoSpace"/>
            </w:pPr>
            <w:r>
              <w:t>V Bratislave, dňa ___________</w:t>
            </w:r>
          </w:p>
        </w:tc>
        <w:tc>
          <w:tcPr>
            <w:tcW w:w="4889" w:type="dxa"/>
            <w:hideMark/>
          </w:tcPr>
          <w:p w:rsidR="007525CD" w:rsidRDefault="007525CD">
            <w:pPr>
              <w:pStyle w:val="NormalNoSpace"/>
            </w:pPr>
            <w:r>
              <w:t>V Bratislave, dňa ___________</w:t>
            </w:r>
          </w:p>
        </w:tc>
      </w:tr>
      <w:tr w:rsidR="007525CD" w:rsidTr="007525CD">
        <w:tc>
          <w:tcPr>
            <w:tcW w:w="4889" w:type="dxa"/>
          </w:tcPr>
          <w:p w:rsidR="007525CD" w:rsidRDefault="007525CD">
            <w:pPr>
              <w:pStyle w:val="NormalNoSpace"/>
            </w:pPr>
          </w:p>
          <w:p w:rsidR="007525CD" w:rsidRDefault="007525CD">
            <w:pPr>
              <w:pStyle w:val="NormalNoSpace"/>
            </w:pPr>
          </w:p>
          <w:p w:rsidR="007525CD" w:rsidRDefault="007525CD">
            <w:pPr>
              <w:pStyle w:val="NormalNoSpace"/>
            </w:pPr>
          </w:p>
          <w:p w:rsidR="007525CD" w:rsidRDefault="007525CD">
            <w:pPr>
              <w:pStyle w:val="NormalNoSpace"/>
            </w:pPr>
            <w:r>
              <w:t>_____________________________</w:t>
            </w:r>
          </w:p>
        </w:tc>
        <w:tc>
          <w:tcPr>
            <w:tcW w:w="4889" w:type="dxa"/>
          </w:tcPr>
          <w:p w:rsidR="007525CD" w:rsidRDefault="007525CD">
            <w:pPr>
              <w:pStyle w:val="NormalNoSpace"/>
            </w:pPr>
          </w:p>
          <w:p w:rsidR="007525CD" w:rsidRDefault="007525CD">
            <w:pPr>
              <w:pStyle w:val="NormalNoSpace"/>
            </w:pPr>
          </w:p>
          <w:p w:rsidR="007525CD" w:rsidRDefault="007525CD">
            <w:pPr>
              <w:pStyle w:val="NormalNoSpace"/>
            </w:pPr>
          </w:p>
          <w:p w:rsidR="007525CD" w:rsidRDefault="007525CD">
            <w:pPr>
              <w:pStyle w:val="NormalNoSpace"/>
            </w:pPr>
            <w:r>
              <w:t>_____________________________</w:t>
            </w:r>
          </w:p>
        </w:tc>
      </w:tr>
      <w:tr w:rsidR="007525CD" w:rsidTr="007525CD">
        <w:tc>
          <w:tcPr>
            <w:tcW w:w="4889" w:type="dxa"/>
          </w:tcPr>
          <w:p w:rsidR="007525CD" w:rsidRDefault="007525CD">
            <w:pPr>
              <w:pStyle w:val="NormalNoSpace"/>
            </w:pPr>
          </w:p>
          <w:p w:rsidR="007525CD" w:rsidRDefault="007525CD">
            <w:pPr>
              <w:pStyle w:val="NormalNoSpace"/>
            </w:pPr>
          </w:p>
          <w:p w:rsidR="007525CD" w:rsidRDefault="007525CD">
            <w:pPr>
              <w:pStyle w:val="NormalNoSpace"/>
            </w:pPr>
          </w:p>
          <w:p w:rsidR="007525CD" w:rsidRDefault="007525CD">
            <w:pPr>
              <w:pStyle w:val="NormalNoSpace"/>
            </w:pPr>
          </w:p>
          <w:p w:rsidR="007525CD" w:rsidRDefault="007525CD">
            <w:pPr>
              <w:pStyle w:val="NormalNoSpace"/>
            </w:pPr>
            <w:r>
              <w:t>_____________________________</w:t>
            </w:r>
          </w:p>
          <w:p w:rsidR="007525CD" w:rsidRDefault="007525CD">
            <w:pPr>
              <w:pStyle w:val="NormalNoSpace"/>
            </w:pPr>
          </w:p>
        </w:tc>
        <w:tc>
          <w:tcPr>
            <w:tcW w:w="4889" w:type="dxa"/>
          </w:tcPr>
          <w:p w:rsidR="007525CD" w:rsidRDefault="007525CD">
            <w:pPr>
              <w:pStyle w:val="NormalNoSpace"/>
            </w:pPr>
          </w:p>
        </w:tc>
      </w:tr>
    </w:tbl>
    <w:p w:rsidR="007525CD" w:rsidRDefault="007525CD" w:rsidP="007525CD">
      <w:pPr>
        <w:pStyle w:val="NormalNoSpace"/>
      </w:pPr>
    </w:p>
    <w:p w:rsidR="007525CD" w:rsidRDefault="007525CD" w:rsidP="007525CD">
      <w:pPr>
        <w:spacing w:before="480"/>
        <w:rPr>
          <w:szCs w:val="22"/>
        </w:rPr>
      </w:pPr>
      <w:r>
        <w:rPr>
          <w:szCs w:val="22"/>
          <w:u w:val="single"/>
        </w:rPr>
        <w:t>Prílohy</w:t>
      </w:r>
      <w:r>
        <w:rPr>
          <w:szCs w:val="22"/>
        </w:rPr>
        <w:t>:</w:t>
      </w:r>
    </w:p>
    <w:p w:rsidR="007525CD" w:rsidRDefault="007525CD" w:rsidP="007525CD">
      <w:pPr>
        <w:numPr>
          <w:ilvl w:val="0"/>
          <w:numId w:val="5"/>
        </w:numPr>
        <w:spacing w:before="120"/>
        <w:ind w:left="567" w:hanging="567"/>
        <w:rPr>
          <w:szCs w:val="22"/>
        </w:rPr>
      </w:pPr>
      <w:r>
        <w:rPr>
          <w:szCs w:val="22"/>
        </w:rPr>
        <w:t>Obchodné podmienky</w:t>
      </w:r>
    </w:p>
    <w:p w:rsidR="00A16BEC" w:rsidRDefault="00A16BEC"/>
    <w:sectPr w:rsidR="00A16B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47529"/>
    <w:multiLevelType w:val="multilevel"/>
    <w:tmpl w:val="99A836F8"/>
    <w:styleLink w:val="111111"/>
    <w:lvl w:ilvl="0">
      <w:start w:val="1"/>
      <w:numFmt w:val="decimal"/>
      <w:pStyle w:val="Nadpis1"/>
      <w:lvlText w:val="%1."/>
      <w:lvlJc w:val="left"/>
      <w:pPr>
        <w:ind w:left="567" w:hanging="567"/>
      </w:pPr>
      <w:rPr>
        <w:rFonts w:ascii="Times New Roman" w:hAnsi="Times New Roman" w:cs="Times New Roman" w:hint="default"/>
        <w:b/>
        <w:i w:val="0"/>
        <w:caps w:val="0"/>
        <w:strike w:val="0"/>
        <w:dstrike w:val="0"/>
        <w:vanish w:val="0"/>
        <w:webHidden w:val="0"/>
        <w:sz w:val="22"/>
        <w:u w:val="none"/>
        <w:effect w:val="none"/>
        <w:vertAlign w:val="baseline"/>
        <w:specVanish w:val="0"/>
      </w:rPr>
    </w:lvl>
    <w:lvl w:ilvl="1">
      <w:start w:val="1"/>
      <w:numFmt w:val="decimal"/>
      <w:pStyle w:val="Nadpis2"/>
      <w:lvlText w:val="%1.%2"/>
      <w:lvlJc w:val="left"/>
      <w:pPr>
        <w:ind w:left="567" w:hanging="567"/>
      </w:pPr>
      <w:rPr>
        <w:rFonts w:ascii="Times New Roman" w:hAnsi="Times New Roman" w:cs="Times New Roman" w:hint="default"/>
        <w:b w:val="0"/>
        <w:i w:val="0"/>
        <w:caps w:val="0"/>
        <w:strike w:val="0"/>
        <w:dstrike w:val="0"/>
        <w:vanish w:val="0"/>
        <w:webHidden w:val="0"/>
        <w:sz w:val="22"/>
        <w:u w:val="none"/>
        <w:effect w:val="none"/>
        <w:vertAlign w:val="baseline"/>
        <w:specVanish w:val="0"/>
      </w:rPr>
    </w:lvl>
    <w:lvl w:ilvl="2">
      <w:start w:val="1"/>
      <w:numFmt w:val="lowerLetter"/>
      <w:pStyle w:val="Nadpis3"/>
      <w:lvlText w:val="%3)"/>
      <w:lvlJc w:val="left"/>
      <w:pPr>
        <w:ind w:left="1134" w:hanging="567"/>
      </w:pPr>
      <w:rPr>
        <w:rFonts w:ascii="Times New Roman" w:hAnsi="Times New Roman"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1C41E0F"/>
    <w:multiLevelType w:val="hybridMultilevel"/>
    <w:tmpl w:val="9092AB78"/>
    <w:lvl w:ilvl="0" w:tplc="AED4793E">
      <w:start w:val="1"/>
      <w:numFmt w:val="upperLetter"/>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4952D98"/>
    <w:multiLevelType w:val="hybridMultilevel"/>
    <w:tmpl w:val="BEDEC6E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6B6837F3"/>
    <w:multiLevelType w:val="hybridMultilevel"/>
    <w:tmpl w:val="239EC796"/>
    <w:lvl w:ilvl="0" w:tplc="836E92F2">
      <w:start w:val="1"/>
      <w:numFmt w:val="decimal"/>
      <w:lvlText w:val="%1)"/>
      <w:lvlJc w:val="right"/>
      <w:pPr>
        <w:ind w:left="720" w:hanging="360"/>
      </w:pPr>
      <w:rPr>
        <w:b/>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5CD"/>
    <w:rsid w:val="004C7FFC"/>
    <w:rsid w:val="005000A9"/>
    <w:rsid w:val="00513A38"/>
    <w:rsid w:val="007525CD"/>
    <w:rsid w:val="00880025"/>
    <w:rsid w:val="008B4144"/>
    <w:rsid w:val="00962E74"/>
    <w:rsid w:val="00A16B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408C"/>
  <w15:chartTrackingRefBased/>
  <w15:docId w15:val="{71575345-AA84-42B3-B78E-C999B098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7525CD"/>
    <w:pPr>
      <w:spacing w:before="240" w:after="0" w:line="240" w:lineRule="auto"/>
      <w:jc w:val="both"/>
    </w:pPr>
    <w:rPr>
      <w:rFonts w:ascii="Times New Roman" w:eastAsia="Times New Roman" w:hAnsi="Times New Roman" w:cs="Times New Roman"/>
      <w:szCs w:val="24"/>
      <w:lang w:eastAsia="sk-SK"/>
    </w:rPr>
  </w:style>
  <w:style w:type="paragraph" w:styleId="Nadpis1">
    <w:name w:val="heading 1"/>
    <w:basedOn w:val="Normlny"/>
    <w:next w:val="Normlny"/>
    <w:link w:val="Nadpis1Char"/>
    <w:qFormat/>
    <w:rsid w:val="007525CD"/>
    <w:pPr>
      <w:keepNext/>
      <w:numPr>
        <w:numId w:val="1"/>
      </w:numPr>
      <w:outlineLvl w:val="0"/>
    </w:pPr>
    <w:rPr>
      <w:b/>
      <w:bCs/>
    </w:rPr>
  </w:style>
  <w:style w:type="paragraph" w:styleId="Nadpis2">
    <w:name w:val="heading 2"/>
    <w:basedOn w:val="Normlny"/>
    <w:next w:val="Normlny"/>
    <w:link w:val="Nadpis2Char"/>
    <w:semiHidden/>
    <w:unhideWhenUsed/>
    <w:qFormat/>
    <w:rsid w:val="007525CD"/>
    <w:pPr>
      <w:numPr>
        <w:ilvl w:val="1"/>
        <w:numId w:val="1"/>
      </w:numPr>
      <w:outlineLvl w:val="1"/>
    </w:pPr>
    <w:rPr>
      <w:bCs/>
    </w:rPr>
  </w:style>
  <w:style w:type="paragraph" w:styleId="Nadpis3">
    <w:name w:val="heading 3"/>
    <w:basedOn w:val="Normlny"/>
    <w:next w:val="Normlny"/>
    <w:link w:val="Nadpis3Char"/>
    <w:semiHidden/>
    <w:unhideWhenUsed/>
    <w:qFormat/>
    <w:rsid w:val="007525CD"/>
    <w:pPr>
      <w:numPr>
        <w:ilvl w:val="2"/>
        <w:numId w:val="1"/>
      </w:numPr>
      <w:outlineLvl w:val="2"/>
    </w:pPr>
    <w:rPr>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525CD"/>
    <w:rPr>
      <w:rFonts w:ascii="Times New Roman" w:eastAsia="Times New Roman" w:hAnsi="Times New Roman" w:cs="Times New Roman"/>
      <w:b/>
      <w:bCs/>
      <w:szCs w:val="24"/>
      <w:lang w:eastAsia="sk-SK"/>
    </w:rPr>
  </w:style>
  <w:style w:type="character" w:customStyle="1" w:styleId="Nadpis2Char">
    <w:name w:val="Nadpis 2 Char"/>
    <w:basedOn w:val="Predvolenpsmoodseku"/>
    <w:link w:val="Nadpis2"/>
    <w:semiHidden/>
    <w:rsid w:val="007525CD"/>
    <w:rPr>
      <w:rFonts w:ascii="Times New Roman" w:eastAsia="Times New Roman" w:hAnsi="Times New Roman" w:cs="Times New Roman"/>
      <w:bCs/>
      <w:szCs w:val="24"/>
      <w:lang w:eastAsia="sk-SK"/>
    </w:rPr>
  </w:style>
  <w:style w:type="character" w:customStyle="1" w:styleId="Nadpis3Char">
    <w:name w:val="Nadpis 3 Char"/>
    <w:basedOn w:val="Predvolenpsmoodseku"/>
    <w:link w:val="Nadpis3"/>
    <w:semiHidden/>
    <w:rsid w:val="007525CD"/>
    <w:rPr>
      <w:rFonts w:ascii="Times New Roman" w:eastAsia="Times New Roman" w:hAnsi="Times New Roman" w:cs="Times New Roman"/>
      <w:bCs/>
      <w:szCs w:val="24"/>
      <w:lang w:eastAsia="sk-SK"/>
    </w:rPr>
  </w:style>
  <w:style w:type="paragraph" w:customStyle="1" w:styleId="Default">
    <w:name w:val="Default"/>
    <w:rsid w:val="007525CD"/>
    <w:pPr>
      <w:spacing w:after="0" w:line="240" w:lineRule="atLeast"/>
    </w:pPr>
    <w:rPr>
      <w:rFonts w:ascii="Helvetica" w:eastAsia="Times New Roman" w:hAnsi="Helvetica" w:cs="Times New Roman"/>
      <w:color w:val="000000"/>
      <w:sz w:val="24"/>
      <w:szCs w:val="20"/>
      <w:lang w:val="en-US" w:eastAsia="sk-SK"/>
    </w:rPr>
  </w:style>
  <w:style w:type="paragraph" w:customStyle="1" w:styleId="NormalNoSpace">
    <w:name w:val="Normal No Space"/>
    <w:basedOn w:val="Normlny"/>
    <w:qFormat/>
    <w:rsid w:val="007525CD"/>
    <w:pPr>
      <w:spacing w:before="0"/>
    </w:pPr>
    <w:rPr>
      <w:rFonts w:eastAsia="Calibri"/>
      <w:szCs w:val="22"/>
      <w:lang w:eastAsia="en-US"/>
    </w:rPr>
  </w:style>
  <w:style w:type="character" w:customStyle="1" w:styleId="Zkladntext">
    <w:name w:val="Základný text_"/>
    <w:basedOn w:val="Predvolenpsmoodseku"/>
    <w:link w:val="Zkladntext2"/>
    <w:locked/>
    <w:rsid w:val="007525CD"/>
    <w:rPr>
      <w:spacing w:val="1"/>
      <w:sz w:val="19"/>
      <w:szCs w:val="19"/>
      <w:shd w:val="clear" w:color="auto" w:fill="FFFFFF"/>
    </w:rPr>
  </w:style>
  <w:style w:type="paragraph" w:customStyle="1" w:styleId="Zkladntext2">
    <w:name w:val="Základný text2"/>
    <w:basedOn w:val="Normlny"/>
    <w:link w:val="Zkladntext"/>
    <w:rsid w:val="007525CD"/>
    <w:pPr>
      <w:widowControl w:val="0"/>
      <w:shd w:val="clear" w:color="auto" w:fill="FFFFFF"/>
      <w:spacing w:before="0" w:line="259" w:lineRule="exact"/>
      <w:ind w:hanging="360"/>
      <w:jc w:val="center"/>
    </w:pPr>
    <w:rPr>
      <w:rFonts w:asciiTheme="minorHAnsi" w:eastAsiaTheme="minorHAnsi" w:hAnsiTheme="minorHAnsi" w:cstheme="minorBidi"/>
      <w:spacing w:val="1"/>
      <w:sz w:val="19"/>
      <w:szCs w:val="19"/>
      <w:lang w:eastAsia="en-US"/>
    </w:rPr>
  </w:style>
  <w:style w:type="table" w:styleId="Mriekatabuky">
    <w:name w:val="Table Grid"/>
    <w:basedOn w:val="Normlnatabuka"/>
    <w:uiPriority w:val="39"/>
    <w:rsid w:val="007525CD"/>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aliases w:val="Igor"/>
    <w:basedOn w:val="Bezzoznamu"/>
    <w:semiHidden/>
    <w:unhideWhenUsed/>
    <w:rsid w:val="007525C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27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2075</Words>
  <Characters>11833</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Gregorová</dc:creator>
  <cp:keywords/>
  <dc:description/>
  <cp:lastModifiedBy>beata.gregorova</cp:lastModifiedBy>
  <cp:revision>7</cp:revision>
  <dcterms:created xsi:type="dcterms:W3CDTF">2017-01-11T19:12:00Z</dcterms:created>
  <dcterms:modified xsi:type="dcterms:W3CDTF">2017-10-31T10:14:00Z</dcterms:modified>
</cp:coreProperties>
</file>