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6F" w:rsidRPr="002676B6" w:rsidRDefault="009B496F" w:rsidP="009B496F">
      <w:pPr>
        <w:spacing w:line="240" w:lineRule="auto"/>
        <w:jc w:val="center"/>
        <w:rPr>
          <w:rFonts w:ascii="Times New Roman" w:hAnsi="Times New Roman" w:cs="Times New Roman"/>
          <w:b/>
        </w:rPr>
      </w:pPr>
      <w:r w:rsidRPr="002676B6">
        <w:rPr>
          <w:rFonts w:ascii="Times New Roman" w:hAnsi="Times New Roman" w:cs="Times New Roman"/>
          <w:b/>
        </w:rPr>
        <w:t>RÁMCOVÁ DISTRIBUČNÁ ZMLUVA</w:t>
      </w:r>
    </w:p>
    <w:p w:rsidR="009B496F" w:rsidRPr="002676B6" w:rsidRDefault="009B496F" w:rsidP="009B496F">
      <w:pPr>
        <w:pStyle w:val="Zkladntext2"/>
        <w:shd w:val="clear" w:color="auto" w:fill="auto"/>
        <w:spacing w:line="240" w:lineRule="auto"/>
        <w:ind w:left="142" w:right="141" w:firstLine="0"/>
        <w:rPr>
          <w:sz w:val="22"/>
          <w:szCs w:val="22"/>
        </w:rPr>
      </w:pPr>
      <w:r w:rsidRPr="002676B6">
        <w:rPr>
          <w:sz w:val="22"/>
          <w:szCs w:val="22"/>
        </w:rPr>
        <w:t>uzavretá medzi:</w:t>
      </w:r>
    </w:p>
    <w:p w:rsidR="009B496F" w:rsidRPr="002676B6" w:rsidRDefault="009B496F" w:rsidP="009B496F">
      <w:pPr>
        <w:pStyle w:val="Zkladntext2"/>
        <w:shd w:val="clear" w:color="auto" w:fill="auto"/>
        <w:spacing w:line="240" w:lineRule="auto"/>
        <w:ind w:left="142" w:right="141" w:firstLine="0"/>
        <w:jc w:val="left"/>
        <w:rPr>
          <w:sz w:val="22"/>
          <w:szCs w:val="22"/>
        </w:rPr>
      </w:pPr>
    </w:p>
    <w:p w:rsidR="009B496F" w:rsidRPr="002676B6" w:rsidRDefault="009B496F" w:rsidP="009B496F">
      <w:pPr>
        <w:pStyle w:val="Zkladntext2"/>
        <w:shd w:val="clear" w:color="auto" w:fill="auto"/>
        <w:spacing w:line="240" w:lineRule="auto"/>
        <w:ind w:left="142" w:right="141" w:firstLine="0"/>
        <w:jc w:val="left"/>
        <w:rPr>
          <w:sz w:val="22"/>
          <w:szCs w:val="22"/>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515"/>
      </w:tblGrid>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Obchodné meno:</w:t>
            </w:r>
          </w:p>
        </w:tc>
        <w:tc>
          <w:tcPr>
            <w:tcW w:w="6515" w:type="dxa"/>
          </w:tcPr>
          <w:p w:rsidR="009B496F" w:rsidRPr="00002905" w:rsidRDefault="001F5F95" w:rsidP="008B31AB">
            <w:pPr>
              <w:pStyle w:val="Zkladntext2"/>
              <w:shd w:val="clear" w:color="auto" w:fill="auto"/>
              <w:spacing w:line="240" w:lineRule="auto"/>
              <w:ind w:right="142" w:firstLine="0"/>
              <w:jc w:val="left"/>
              <w:rPr>
                <w:b/>
                <w:sz w:val="22"/>
                <w:szCs w:val="22"/>
              </w:rPr>
            </w:pPr>
            <w:r>
              <w:rPr>
                <w:b/>
                <w:sz w:val="22"/>
                <w:szCs w:val="22"/>
              </w:rPr>
              <w:t>AKZ</w:t>
            </w:r>
            <w:r w:rsidR="009B496F" w:rsidRPr="00002905">
              <w:rPr>
                <w:b/>
                <w:sz w:val="22"/>
                <w:szCs w:val="22"/>
              </w:rPr>
              <w:t xml:space="preserve"> INFRA, s.r.o.</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Sídlo:</w:t>
            </w:r>
          </w:p>
        </w:tc>
        <w:tc>
          <w:tcPr>
            <w:tcW w:w="6515" w:type="dxa"/>
          </w:tcPr>
          <w:p w:rsidR="009B496F" w:rsidRPr="002676B6" w:rsidRDefault="001F5F95" w:rsidP="008B31AB">
            <w:pPr>
              <w:pStyle w:val="Zkladntext2"/>
              <w:shd w:val="clear" w:color="auto" w:fill="auto"/>
              <w:spacing w:line="240" w:lineRule="auto"/>
              <w:ind w:right="142" w:firstLine="0"/>
              <w:jc w:val="left"/>
              <w:rPr>
                <w:sz w:val="22"/>
                <w:szCs w:val="22"/>
              </w:rPr>
            </w:pPr>
            <w:r>
              <w:rPr>
                <w:sz w:val="22"/>
                <w:szCs w:val="22"/>
              </w:rPr>
              <w:t>Mýtna</w:t>
            </w:r>
            <w:r w:rsidR="009B496F">
              <w:rPr>
                <w:sz w:val="22"/>
                <w:szCs w:val="22"/>
              </w:rPr>
              <w:t xml:space="preserve"> 4</w:t>
            </w:r>
            <w:r>
              <w:rPr>
                <w:sz w:val="22"/>
                <w:szCs w:val="22"/>
              </w:rPr>
              <w:t>8</w:t>
            </w:r>
            <w:r w:rsidR="009B496F">
              <w:rPr>
                <w:sz w:val="22"/>
                <w:szCs w:val="22"/>
              </w:rPr>
              <w:t>, 811 0</w:t>
            </w:r>
            <w:r>
              <w:rPr>
                <w:sz w:val="22"/>
                <w:szCs w:val="22"/>
              </w:rPr>
              <w:t>7</w:t>
            </w:r>
            <w:r w:rsidR="009B496F">
              <w:rPr>
                <w:sz w:val="22"/>
                <w:szCs w:val="22"/>
              </w:rPr>
              <w:t xml:space="preserve"> Bratislava</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Zapísaná v:</w:t>
            </w:r>
          </w:p>
        </w:tc>
        <w:tc>
          <w:tcPr>
            <w:tcW w:w="6515" w:type="dxa"/>
          </w:tcPr>
          <w:p w:rsidR="009B496F" w:rsidRPr="002676B6" w:rsidRDefault="009B496F" w:rsidP="008B31AB">
            <w:pPr>
              <w:pStyle w:val="Zkladntext2"/>
              <w:shd w:val="clear" w:color="auto" w:fill="auto"/>
              <w:spacing w:line="240" w:lineRule="auto"/>
              <w:ind w:right="142" w:firstLine="0"/>
              <w:jc w:val="left"/>
              <w:rPr>
                <w:sz w:val="22"/>
                <w:szCs w:val="22"/>
              </w:rPr>
            </w:pPr>
            <w:r>
              <w:rPr>
                <w:sz w:val="22"/>
                <w:szCs w:val="22"/>
              </w:rPr>
              <w:t xml:space="preserve">Obchodnom registri Okresného súdu Bratislava I, oddiel: </w:t>
            </w:r>
            <w:proofErr w:type="spellStart"/>
            <w:r>
              <w:rPr>
                <w:sz w:val="22"/>
                <w:szCs w:val="22"/>
              </w:rPr>
              <w:t>Sro</w:t>
            </w:r>
            <w:proofErr w:type="spellEnd"/>
            <w:r>
              <w:rPr>
                <w:sz w:val="22"/>
                <w:szCs w:val="22"/>
              </w:rPr>
              <w:t>, vložka č. 91135/B</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IČO:</w:t>
            </w:r>
          </w:p>
        </w:tc>
        <w:tc>
          <w:tcPr>
            <w:tcW w:w="6515" w:type="dxa"/>
          </w:tcPr>
          <w:p w:rsidR="009B496F" w:rsidRPr="002676B6" w:rsidRDefault="009B496F" w:rsidP="008B31AB">
            <w:pPr>
              <w:pStyle w:val="Zkladntext2"/>
              <w:shd w:val="clear" w:color="auto" w:fill="auto"/>
              <w:spacing w:line="240" w:lineRule="auto"/>
              <w:ind w:right="142" w:firstLine="0"/>
              <w:jc w:val="left"/>
              <w:rPr>
                <w:sz w:val="22"/>
                <w:szCs w:val="22"/>
              </w:rPr>
            </w:pPr>
            <w:r>
              <w:rPr>
                <w:sz w:val="22"/>
                <w:szCs w:val="22"/>
              </w:rPr>
              <w:t>47 335 874</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IČ DPH:</w:t>
            </w:r>
          </w:p>
        </w:tc>
        <w:tc>
          <w:tcPr>
            <w:tcW w:w="6515" w:type="dxa"/>
          </w:tcPr>
          <w:p w:rsidR="009B496F" w:rsidRPr="002676B6" w:rsidRDefault="009B496F" w:rsidP="008B31AB">
            <w:pPr>
              <w:pStyle w:val="Zkladntext2"/>
              <w:shd w:val="clear" w:color="auto" w:fill="auto"/>
              <w:spacing w:line="240" w:lineRule="auto"/>
              <w:ind w:right="142" w:firstLine="0"/>
              <w:jc w:val="left"/>
              <w:rPr>
                <w:sz w:val="22"/>
                <w:szCs w:val="22"/>
              </w:rPr>
            </w:pPr>
            <w:r>
              <w:rPr>
                <w:sz w:val="22"/>
                <w:szCs w:val="22"/>
              </w:rPr>
              <w:t>SK2023832041</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Bankové spojenie:</w:t>
            </w:r>
          </w:p>
        </w:tc>
        <w:tc>
          <w:tcPr>
            <w:tcW w:w="6515" w:type="dxa"/>
          </w:tcPr>
          <w:p w:rsidR="009B496F" w:rsidRPr="002676B6" w:rsidRDefault="009B496F" w:rsidP="008B31AB">
            <w:pPr>
              <w:pStyle w:val="Zkladntext2"/>
              <w:shd w:val="clear" w:color="auto" w:fill="auto"/>
              <w:spacing w:line="240" w:lineRule="auto"/>
              <w:ind w:right="142" w:firstLine="0"/>
              <w:jc w:val="left"/>
              <w:rPr>
                <w:sz w:val="22"/>
                <w:szCs w:val="22"/>
              </w:rPr>
            </w:pPr>
            <w:r>
              <w:rPr>
                <w:sz w:val="22"/>
                <w:szCs w:val="22"/>
              </w:rPr>
              <w:t>Tatra banka, a.s.</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IBAN:</w:t>
            </w:r>
          </w:p>
        </w:tc>
        <w:tc>
          <w:tcPr>
            <w:tcW w:w="6515" w:type="dxa"/>
          </w:tcPr>
          <w:p w:rsidR="009B496F" w:rsidRPr="00002905" w:rsidRDefault="009B496F" w:rsidP="008B31AB">
            <w:pPr>
              <w:pStyle w:val="Zkladntext2"/>
              <w:shd w:val="clear" w:color="auto" w:fill="auto"/>
              <w:spacing w:line="240" w:lineRule="auto"/>
              <w:ind w:right="142" w:firstLine="0"/>
              <w:jc w:val="left"/>
              <w:rPr>
                <w:sz w:val="22"/>
                <w:szCs w:val="22"/>
              </w:rPr>
            </w:pPr>
            <w:r w:rsidRPr="00002905">
              <w:rPr>
                <w:sz w:val="22"/>
                <w:szCs w:val="22"/>
              </w:rPr>
              <w:t>SK6811000000002942017913</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V mene ktorej koná:</w:t>
            </w:r>
          </w:p>
        </w:tc>
        <w:tc>
          <w:tcPr>
            <w:tcW w:w="6515" w:type="dxa"/>
          </w:tcPr>
          <w:p w:rsidR="009B496F" w:rsidRDefault="001F5F95" w:rsidP="008B31AB">
            <w:pPr>
              <w:pStyle w:val="Zkladntext2"/>
              <w:shd w:val="clear" w:color="auto" w:fill="auto"/>
              <w:spacing w:line="240" w:lineRule="auto"/>
              <w:ind w:right="142" w:firstLine="0"/>
              <w:jc w:val="left"/>
              <w:rPr>
                <w:sz w:val="22"/>
                <w:szCs w:val="22"/>
              </w:rPr>
            </w:pPr>
            <w:r>
              <w:rPr>
                <w:sz w:val="22"/>
                <w:szCs w:val="22"/>
              </w:rPr>
              <w:t>Mgr. Tomáš Záhradník</w:t>
            </w:r>
            <w:r w:rsidR="009B496F">
              <w:rPr>
                <w:sz w:val="22"/>
                <w:szCs w:val="22"/>
              </w:rPr>
              <w:t>, konateľ spoločnosti</w:t>
            </w:r>
          </w:p>
          <w:p w:rsidR="009B496F" w:rsidRPr="002676B6" w:rsidRDefault="001F5F95" w:rsidP="008B31AB">
            <w:pPr>
              <w:pStyle w:val="Zkladntext2"/>
              <w:shd w:val="clear" w:color="auto" w:fill="auto"/>
              <w:spacing w:line="240" w:lineRule="auto"/>
              <w:ind w:right="142" w:firstLine="0"/>
              <w:jc w:val="left"/>
              <w:rPr>
                <w:sz w:val="22"/>
                <w:szCs w:val="22"/>
              </w:rPr>
            </w:pPr>
            <w:r>
              <w:rPr>
                <w:sz w:val="22"/>
                <w:szCs w:val="22"/>
              </w:rPr>
              <w:t>Beáta Gregorová</w:t>
            </w:r>
            <w:r w:rsidR="009B496F">
              <w:rPr>
                <w:sz w:val="22"/>
                <w:szCs w:val="22"/>
              </w:rPr>
              <w:t>, konateľ spoločnosti</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Číslo povolenia:</w:t>
            </w:r>
          </w:p>
        </w:tc>
        <w:tc>
          <w:tcPr>
            <w:tcW w:w="6515" w:type="dxa"/>
          </w:tcPr>
          <w:p w:rsidR="009B496F" w:rsidRPr="002676B6" w:rsidRDefault="001F5F95" w:rsidP="008B31AB">
            <w:pPr>
              <w:pStyle w:val="Zkladntext2"/>
              <w:shd w:val="clear" w:color="auto" w:fill="auto"/>
              <w:spacing w:line="240" w:lineRule="auto"/>
              <w:ind w:right="142" w:firstLine="0"/>
              <w:jc w:val="left"/>
              <w:rPr>
                <w:sz w:val="22"/>
                <w:szCs w:val="22"/>
              </w:rPr>
            </w:pPr>
            <w:r>
              <w:rPr>
                <w:sz w:val="22"/>
                <w:szCs w:val="22"/>
              </w:rPr>
              <w:t>2017E 0657 – 1. zmena</w:t>
            </w:r>
          </w:p>
        </w:tc>
      </w:tr>
      <w:tr w:rsidR="009B496F" w:rsidRPr="002676B6" w:rsidTr="008B31AB">
        <w:trPr>
          <w:trHeight w:val="284"/>
        </w:trPr>
        <w:tc>
          <w:tcPr>
            <w:tcW w:w="2405"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EIC kód typu X účastníka trhu:</w:t>
            </w:r>
          </w:p>
        </w:tc>
        <w:tc>
          <w:tcPr>
            <w:tcW w:w="6515" w:type="dxa"/>
          </w:tcPr>
          <w:p w:rsidR="009B496F" w:rsidRPr="002676B6" w:rsidRDefault="009B496F" w:rsidP="008B31AB">
            <w:pPr>
              <w:pStyle w:val="Zkladntext2"/>
              <w:shd w:val="clear" w:color="auto" w:fill="auto"/>
              <w:spacing w:line="240" w:lineRule="auto"/>
              <w:ind w:right="142" w:firstLine="0"/>
              <w:jc w:val="left"/>
              <w:rPr>
                <w:sz w:val="22"/>
                <w:szCs w:val="22"/>
              </w:rPr>
            </w:pPr>
          </w:p>
        </w:tc>
      </w:tr>
      <w:tr w:rsidR="009B496F" w:rsidRPr="002676B6" w:rsidTr="008B31AB">
        <w:trPr>
          <w:trHeight w:val="284"/>
        </w:trPr>
        <w:tc>
          <w:tcPr>
            <w:tcW w:w="8920" w:type="dxa"/>
            <w:gridSpan w:val="2"/>
          </w:tcPr>
          <w:p w:rsidR="009B496F" w:rsidRPr="002676B6" w:rsidRDefault="009B496F" w:rsidP="008B31AB">
            <w:pPr>
              <w:pStyle w:val="Zkladntext2"/>
              <w:shd w:val="clear" w:color="auto" w:fill="auto"/>
              <w:spacing w:line="240" w:lineRule="auto"/>
              <w:ind w:left="34" w:right="142" w:firstLine="0"/>
              <w:jc w:val="left"/>
              <w:rPr>
                <w:sz w:val="22"/>
                <w:szCs w:val="22"/>
              </w:rPr>
            </w:pPr>
          </w:p>
          <w:p w:rsidR="009B496F" w:rsidRPr="002676B6" w:rsidRDefault="009B496F" w:rsidP="008B31AB">
            <w:pPr>
              <w:pStyle w:val="Zkladntext2"/>
              <w:shd w:val="clear" w:color="auto" w:fill="auto"/>
              <w:spacing w:line="240" w:lineRule="auto"/>
              <w:ind w:left="34" w:right="142" w:firstLine="0"/>
              <w:jc w:val="left"/>
              <w:rPr>
                <w:sz w:val="22"/>
                <w:szCs w:val="22"/>
              </w:rPr>
            </w:pPr>
            <w:r>
              <w:rPr>
                <w:sz w:val="22"/>
                <w:szCs w:val="22"/>
              </w:rPr>
              <w:t xml:space="preserve">ako </w:t>
            </w:r>
            <w:r w:rsidRPr="002676B6">
              <w:rPr>
                <w:sz w:val="22"/>
                <w:szCs w:val="22"/>
              </w:rPr>
              <w:t>prevádzkovateľom miestnej distribučnej sústavy(ďalej len „</w:t>
            </w:r>
            <w:r w:rsidRPr="002676B6">
              <w:rPr>
                <w:b/>
                <w:sz w:val="22"/>
                <w:szCs w:val="22"/>
              </w:rPr>
              <w:t>PMDS</w:t>
            </w:r>
            <w:r w:rsidRPr="002676B6">
              <w:rPr>
                <w:sz w:val="22"/>
                <w:szCs w:val="22"/>
              </w:rPr>
              <w:t>“)</w:t>
            </w:r>
          </w:p>
        </w:tc>
      </w:tr>
    </w:tbl>
    <w:p w:rsidR="009B496F" w:rsidRPr="002676B6" w:rsidRDefault="009B496F" w:rsidP="009B496F">
      <w:pPr>
        <w:pStyle w:val="Zkladntext2"/>
        <w:shd w:val="clear" w:color="auto" w:fill="auto"/>
        <w:spacing w:line="240" w:lineRule="auto"/>
        <w:ind w:left="142" w:right="141" w:firstLine="0"/>
        <w:jc w:val="left"/>
        <w:rPr>
          <w:sz w:val="22"/>
          <w:szCs w:val="22"/>
        </w:rPr>
      </w:pPr>
    </w:p>
    <w:p w:rsidR="009B496F" w:rsidRPr="002676B6" w:rsidRDefault="009B496F" w:rsidP="009B496F">
      <w:pPr>
        <w:pStyle w:val="Zkladntext2"/>
        <w:shd w:val="clear" w:color="auto" w:fill="auto"/>
        <w:spacing w:line="240" w:lineRule="auto"/>
        <w:ind w:left="284" w:right="141" w:firstLine="0"/>
        <w:jc w:val="left"/>
        <w:rPr>
          <w:sz w:val="22"/>
          <w:szCs w:val="22"/>
        </w:rPr>
      </w:pPr>
      <w:r w:rsidRPr="002676B6">
        <w:rPr>
          <w:sz w:val="22"/>
          <w:szCs w:val="22"/>
        </w:rPr>
        <w:t>a </w:t>
      </w:r>
    </w:p>
    <w:p w:rsidR="009B496F" w:rsidRPr="002676B6" w:rsidRDefault="009B496F" w:rsidP="009B496F">
      <w:pPr>
        <w:pStyle w:val="Zkladntext2"/>
        <w:shd w:val="clear" w:color="auto" w:fill="auto"/>
        <w:spacing w:line="240" w:lineRule="auto"/>
        <w:ind w:left="142" w:right="141" w:firstLine="0"/>
        <w:jc w:val="left"/>
        <w:rPr>
          <w:sz w:val="22"/>
          <w:szCs w:val="22"/>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090"/>
        <w:gridCol w:w="142"/>
      </w:tblGrid>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Obchodné meno:</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Sídlo:</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Zapísaná v:</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IČO:</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IČ DPH:</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Bankové spojenie:</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IBAN:</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V mene ktorej koná:</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Číslo povolenia:</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t>EIC kód typu X účastníka trhu:</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gridAfter w:val="1"/>
          <w:wAfter w:w="142" w:type="dxa"/>
          <w:trHeight w:val="284"/>
        </w:trPr>
        <w:tc>
          <w:tcPr>
            <w:tcW w:w="2410" w:type="dxa"/>
          </w:tcPr>
          <w:p w:rsidR="009B496F" w:rsidRPr="002676B6" w:rsidRDefault="009B496F" w:rsidP="008B31AB">
            <w:pPr>
              <w:pStyle w:val="Zkladntext2"/>
              <w:shd w:val="clear" w:color="auto" w:fill="auto"/>
              <w:spacing w:line="240" w:lineRule="auto"/>
              <w:ind w:left="34" w:right="142" w:firstLine="0"/>
              <w:jc w:val="left"/>
              <w:rPr>
                <w:sz w:val="22"/>
                <w:szCs w:val="22"/>
              </w:rPr>
            </w:pPr>
            <w:r w:rsidRPr="002676B6">
              <w:rPr>
                <w:sz w:val="22"/>
                <w:szCs w:val="22"/>
              </w:rPr>
              <w:lastRenderedPageBreak/>
              <w:t>E-mailová adresa pre zasielanie faktúr a výziev</w:t>
            </w:r>
          </w:p>
        </w:tc>
        <w:tc>
          <w:tcPr>
            <w:tcW w:w="6090" w:type="dxa"/>
          </w:tcPr>
          <w:p w:rsidR="009B496F" w:rsidRPr="000F0AB1" w:rsidRDefault="009B496F" w:rsidP="008B31AB">
            <w:pPr>
              <w:pStyle w:val="Zkladntext2"/>
              <w:shd w:val="clear" w:color="auto" w:fill="auto"/>
              <w:spacing w:line="240" w:lineRule="auto"/>
              <w:ind w:right="142" w:firstLine="0"/>
              <w:jc w:val="left"/>
              <w:rPr>
                <w:sz w:val="22"/>
                <w:szCs w:val="22"/>
                <w:highlight w:val="yellow"/>
              </w:rPr>
            </w:pPr>
            <w:r w:rsidRPr="000F0AB1">
              <w:rPr>
                <w:sz w:val="22"/>
                <w:szCs w:val="22"/>
                <w:highlight w:val="yellow"/>
              </w:rPr>
              <w:t>[●]</w:t>
            </w:r>
          </w:p>
        </w:tc>
      </w:tr>
      <w:tr w:rsidR="009B496F" w:rsidRPr="002676B6" w:rsidTr="008B31AB">
        <w:trPr>
          <w:trHeight w:val="284"/>
        </w:trPr>
        <w:tc>
          <w:tcPr>
            <w:tcW w:w="8642" w:type="dxa"/>
            <w:gridSpan w:val="3"/>
          </w:tcPr>
          <w:p w:rsidR="009B496F" w:rsidRPr="002676B6" w:rsidRDefault="009B496F" w:rsidP="008B31AB">
            <w:pPr>
              <w:pStyle w:val="Zkladntext2"/>
              <w:shd w:val="clear" w:color="auto" w:fill="auto"/>
              <w:spacing w:line="240" w:lineRule="auto"/>
              <w:ind w:right="142" w:firstLine="0"/>
              <w:jc w:val="left"/>
              <w:rPr>
                <w:sz w:val="22"/>
                <w:szCs w:val="22"/>
              </w:rPr>
            </w:pPr>
          </w:p>
          <w:p w:rsidR="009B496F" w:rsidRDefault="009B496F" w:rsidP="008B31AB">
            <w:pPr>
              <w:pStyle w:val="Zkladntext2"/>
              <w:shd w:val="clear" w:color="auto" w:fill="auto"/>
              <w:spacing w:line="240" w:lineRule="auto"/>
              <w:ind w:right="142" w:firstLine="0"/>
              <w:jc w:val="left"/>
              <w:rPr>
                <w:sz w:val="22"/>
                <w:szCs w:val="22"/>
              </w:rPr>
            </w:pPr>
            <w:r>
              <w:rPr>
                <w:sz w:val="22"/>
                <w:szCs w:val="22"/>
              </w:rPr>
              <w:t xml:space="preserve">ako </w:t>
            </w:r>
            <w:r w:rsidRPr="002676B6">
              <w:rPr>
                <w:sz w:val="22"/>
                <w:szCs w:val="22"/>
              </w:rPr>
              <w:t>dodávateľom elektriny(ďalej len „</w:t>
            </w:r>
            <w:r w:rsidRPr="002676B6">
              <w:rPr>
                <w:b/>
                <w:sz w:val="22"/>
                <w:szCs w:val="22"/>
              </w:rPr>
              <w:t>Dodávateľ elektriny</w:t>
            </w:r>
            <w:r w:rsidRPr="002676B6">
              <w:rPr>
                <w:sz w:val="22"/>
                <w:szCs w:val="22"/>
              </w:rPr>
              <w:t>“</w:t>
            </w:r>
            <w:r>
              <w:rPr>
                <w:sz w:val="22"/>
                <w:szCs w:val="22"/>
              </w:rPr>
              <w:t>)</w:t>
            </w:r>
          </w:p>
          <w:p w:rsidR="009B496F" w:rsidRDefault="009B496F" w:rsidP="008B31AB">
            <w:pPr>
              <w:pStyle w:val="Zkladntext2"/>
              <w:shd w:val="clear" w:color="auto" w:fill="auto"/>
              <w:spacing w:line="240" w:lineRule="auto"/>
              <w:ind w:right="142" w:firstLine="0"/>
              <w:jc w:val="left"/>
              <w:rPr>
                <w:sz w:val="22"/>
                <w:szCs w:val="22"/>
              </w:rPr>
            </w:pPr>
          </w:p>
          <w:p w:rsidR="009B496F" w:rsidRPr="002676B6" w:rsidRDefault="009B496F" w:rsidP="008B31AB">
            <w:pPr>
              <w:pStyle w:val="Zkladntext2"/>
              <w:shd w:val="clear" w:color="auto" w:fill="auto"/>
              <w:spacing w:line="240" w:lineRule="auto"/>
              <w:ind w:right="142" w:firstLine="0"/>
              <w:jc w:val="left"/>
              <w:rPr>
                <w:sz w:val="22"/>
                <w:szCs w:val="22"/>
              </w:rPr>
            </w:pPr>
            <w:r w:rsidRPr="002676B6">
              <w:rPr>
                <w:sz w:val="22"/>
                <w:szCs w:val="22"/>
              </w:rPr>
              <w:t>PMDS a Dodávateľ elektriny ďalej spolu ako „</w:t>
            </w:r>
            <w:r w:rsidRPr="002676B6">
              <w:rPr>
                <w:b/>
                <w:sz w:val="22"/>
                <w:szCs w:val="22"/>
              </w:rPr>
              <w:t>Zmluvné strany</w:t>
            </w:r>
            <w:r w:rsidRPr="002676B6">
              <w:rPr>
                <w:sz w:val="22"/>
                <w:szCs w:val="22"/>
              </w:rPr>
              <w:t>“</w:t>
            </w:r>
          </w:p>
        </w:tc>
      </w:tr>
    </w:tbl>
    <w:p w:rsidR="009B496F" w:rsidRPr="002676B6" w:rsidRDefault="009B496F" w:rsidP="009B496F">
      <w:pPr>
        <w:pStyle w:val="Zkladntext2"/>
        <w:shd w:val="clear" w:color="auto" w:fill="auto"/>
        <w:spacing w:line="240" w:lineRule="auto"/>
        <w:ind w:left="142" w:right="141" w:firstLine="0"/>
        <w:jc w:val="left"/>
        <w:rPr>
          <w:sz w:val="22"/>
          <w:szCs w:val="22"/>
        </w:rPr>
      </w:pPr>
    </w:p>
    <w:p w:rsidR="009B496F" w:rsidRPr="002676B6" w:rsidRDefault="009B496F" w:rsidP="009B496F">
      <w:pPr>
        <w:spacing w:after="0" w:line="240" w:lineRule="auto"/>
        <w:ind w:left="142" w:right="141"/>
        <w:rPr>
          <w:rFonts w:ascii="Times New Roman" w:hAnsi="Times New Roman" w:cs="Times New Roman"/>
        </w:rPr>
      </w:pPr>
    </w:p>
    <w:p w:rsidR="009B496F" w:rsidRPr="002676B6" w:rsidRDefault="009B496F" w:rsidP="009B496F">
      <w:pPr>
        <w:jc w:val="both"/>
        <w:rPr>
          <w:rFonts w:ascii="Times New Roman" w:hAnsi="Times New Roman" w:cs="Times New Roman"/>
        </w:rPr>
      </w:pPr>
      <w:r w:rsidRPr="002676B6">
        <w:rPr>
          <w:rFonts w:ascii="Times New Roman" w:hAnsi="Times New Roman" w:cs="Times New Roman"/>
          <w:b/>
        </w:rPr>
        <w:t>VZHĽADOM NA TO, ŽE</w:t>
      </w:r>
      <w:r>
        <w:rPr>
          <w:rFonts w:ascii="Times New Roman" w:hAnsi="Times New Roman" w:cs="Times New Roman"/>
          <w:b/>
        </w:rPr>
        <w:t xml:space="preserve"> </w:t>
      </w:r>
      <w:r w:rsidRPr="002676B6">
        <w:rPr>
          <w:rFonts w:ascii="Times New Roman" w:hAnsi="Times New Roman" w:cs="Times New Roman"/>
        </w:rPr>
        <w:t>Dodávateľ elektriny má záujem cez miestnu distribučnú sústavu PMDS</w:t>
      </w:r>
      <w:r>
        <w:rPr>
          <w:rFonts w:ascii="Times New Roman" w:hAnsi="Times New Roman" w:cs="Times New Roman"/>
        </w:rPr>
        <w:t xml:space="preserve"> </w:t>
      </w:r>
      <w:r w:rsidRPr="002676B6">
        <w:rPr>
          <w:rFonts w:ascii="Times New Roman" w:hAnsi="Times New Roman" w:cs="Times New Roman"/>
        </w:rPr>
        <w:t>dodávať elektrinu,</w:t>
      </w:r>
      <w:r>
        <w:rPr>
          <w:rFonts w:ascii="Times New Roman" w:hAnsi="Times New Roman" w:cs="Times New Roman"/>
        </w:rPr>
        <w:t xml:space="preserve"> </w:t>
      </w:r>
      <w:r w:rsidRPr="002676B6">
        <w:rPr>
          <w:rFonts w:ascii="Times New Roman" w:hAnsi="Times New Roman" w:cs="Times New Roman"/>
        </w:rPr>
        <w:t xml:space="preserve">uzatvárajú Zmluvné strany túto rámcovú distribučnú zmluvu v znení prílohy 9 vyhlášky Úradu pre reguláciu sieťových odvetvi č. 24/2013 </w:t>
      </w:r>
      <w:proofErr w:type="spellStart"/>
      <w:r w:rsidRPr="002676B6">
        <w:rPr>
          <w:rFonts w:ascii="Times New Roman" w:hAnsi="Times New Roman" w:cs="Times New Roman"/>
        </w:rPr>
        <w:t>Z.z</w:t>
      </w:r>
      <w:proofErr w:type="spellEnd"/>
      <w:r w:rsidRPr="002676B6">
        <w:rPr>
          <w:rFonts w:ascii="Times New Roman" w:hAnsi="Times New Roman" w:cs="Times New Roman"/>
        </w:rPr>
        <w:t>. ktorou sa ustanovujú pravidlá pre fungovanie vnútorného trhu s elektrinou a pravidlá pre fungovanie vnútorného trhu s plynom (ďalej len: „</w:t>
      </w:r>
      <w:r w:rsidRPr="002676B6">
        <w:rPr>
          <w:rFonts w:ascii="Times New Roman" w:hAnsi="Times New Roman" w:cs="Times New Roman"/>
          <w:b/>
        </w:rPr>
        <w:t>Zmluva</w:t>
      </w:r>
      <w:r w:rsidRPr="002676B6">
        <w:rPr>
          <w:rFonts w:ascii="Times New Roman" w:hAnsi="Times New Roman" w:cs="Times New Roman"/>
        </w:rPr>
        <w:t>“):</w:t>
      </w:r>
    </w:p>
    <w:p w:rsidR="009B496F" w:rsidRPr="002676B6" w:rsidRDefault="009B496F" w:rsidP="009B496F">
      <w:pPr>
        <w:jc w:val="both"/>
        <w:rPr>
          <w:rFonts w:ascii="Times New Roman" w:hAnsi="Times New Roman" w:cs="Times New Roman"/>
        </w:rPr>
      </w:pPr>
    </w:p>
    <w:p w:rsidR="009B496F" w:rsidRDefault="009B496F" w:rsidP="009B496F">
      <w:pPr>
        <w:pStyle w:val="Hlavikaalebopta0"/>
        <w:numPr>
          <w:ilvl w:val="0"/>
          <w:numId w:val="2"/>
        </w:numPr>
        <w:shd w:val="clear" w:color="auto" w:fill="auto"/>
        <w:spacing w:after="60" w:line="240" w:lineRule="auto"/>
        <w:ind w:left="567" w:right="1" w:hanging="567"/>
        <w:rPr>
          <w:sz w:val="22"/>
          <w:szCs w:val="22"/>
        </w:rPr>
      </w:pPr>
      <w:r w:rsidRPr="002676B6">
        <w:rPr>
          <w:sz w:val="22"/>
          <w:szCs w:val="22"/>
        </w:rPr>
        <w:t>P</w:t>
      </w:r>
      <w:r>
        <w:rPr>
          <w:sz w:val="22"/>
          <w:szCs w:val="22"/>
        </w:rPr>
        <w:t>redmet Z</w:t>
      </w:r>
      <w:r w:rsidRPr="002676B6">
        <w:rPr>
          <w:sz w:val="22"/>
          <w:szCs w:val="22"/>
        </w:rPr>
        <w:t>mluvy</w:t>
      </w:r>
    </w:p>
    <w:p w:rsidR="009B496F" w:rsidRPr="002676B6" w:rsidRDefault="009B496F" w:rsidP="009B496F">
      <w:pPr>
        <w:pStyle w:val="Hlavikaalebopta0"/>
        <w:shd w:val="clear" w:color="auto" w:fill="auto"/>
        <w:spacing w:after="60" w:line="240" w:lineRule="auto"/>
        <w:ind w:left="567" w:right="1"/>
        <w:rPr>
          <w:sz w:val="22"/>
          <w:szCs w:val="22"/>
        </w:rPr>
      </w:pPr>
    </w:p>
    <w:p w:rsidR="009B496F" w:rsidRPr="002676B6" w:rsidRDefault="009B496F" w:rsidP="009B496F">
      <w:pPr>
        <w:pStyle w:val="Zkladntext2"/>
        <w:numPr>
          <w:ilvl w:val="1"/>
          <w:numId w:val="3"/>
        </w:numPr>
        <w:shd w:val="clear" w:color="auto" w:fill="auto"/>
        <w:spacing w:after="60" w:line="240" w:lineRule="auto"/>
        <w:ind w:left="567" w:right="1" w:hanging="567"/>
        <w:jc w:val="both"/>
        <w:rPr>
          <w:sz w:val="22"/>
          <w:szCs w:val="22"/>
        </w:rPr>
      </w:pPr>
      <w:r w:rsidRPr="002676B6">
        <w:rPr>
          <w:sz w:val="22"/>
          <w:szCs w:val="22"/>
        </w:rPr>
        <w:t>Touto Zmluvou sa PMDS zaväzuje zabezpečiť distribúciu elektriny do odberných miest, ktoré sú pripojené do miestnej distribučnej sústavy PMDS, pre Dodávateľa elektriny, ktorý dodáva elektrinu do odberných miest, ktoré sú pripojené do miestnej distribučnej sústavy PMDS, na základe Zmluvy o pripojení do distribučnej sústavy a Zmluvy o združenej dodávke elektriny.</w:t>
      </w:r>
    </w:p>
    <w:p w:rsidR="009B496F" w:rsidRDefault="009B496F" w:rsidP="009B496F">
      <w:pPr>
        <w:pStyle w:val="Zkladntext2"/>
        <w:numPr>
          <w:ilvl w:val="1"/>
          <w:numId w:val="3"/>
        </w:numPr>
        <w:shd w:val="clear" w:color="auto" w:fill="auto"/>
        <w:tabs>
          <w:tab w:val="left" w:pos="567"/>
        </w:tabs>
        <w:spacing w:after="60" w:line="240" w:lineRule="auto"/>
        <w:ind w:left="567" w:right="1" w:hanging="567"/>
        <w:jc w:val="both"/>
        <w:rPr>
          <w:sz w:val="22"/>
          <w:szCs w:val="22"/>
        </w:rPr>
      </w:pPr>
      <w:r w:rsidRPr="002676B6">
        <w:rPr>
          <w:sz w:val="22"/>
          <w:szCs w:val="22"/>
        </w:rPr>
        <w:t>Dodávateľ elektriny sa zaväzuje PMDS uhradiť riadne a včas platby za prístup do distribučnej sústavy a distribúciu elektriny podľa rozhodnutí Úradu pre reguláciu sieťových odvetví, vrátane ostatných poplatkov v súlade so všeobecne záväznými právnymi predpismi, a to za všetky odberné miesta, do ktorých Dodávateľ elektriny dodáva elektrinu na základe Zmluvy o združenej dodávke elektriny, a za ktoré sa zúčtovanie v príslušnom období vykonáva.</w:t>
      </w:r>
    </w:p>
    <w:p w:rsidR="009B496F" w:rsidRPr="002676B6" w:rsidRDefault="009B496F" w:rsidP="009B496F">
      <w:pPr>
        <w:pStyle w:val="Zkladntext2"/>
        <w:shd w:val="clear" w:color="auto" w:fill="auto"/>
        <w:tabs>
          <w:tab w:val="left" w:pos="567"/>
        </w:tabs>
        <w:spacing w:after="60" w:line="240" w:lineRule="auto"/>
        <w:ind w:left="567" w:right="1" w:firstLine="0"/>
        <w:jc w:val="both"/>
        <w:rPr>
          <w:sz w:val="22"/>
          <w:szCs w:val="22"/>
        </w:rPr>
      </w:pPr>
    </w:p>
    <w:p w:rsidR="009B496F" w:rsidRDefault="009B496F" w:rsidP="009B496F">
      <w:pPr>
        <w:pStyle w:val="Zkladntext2"/>
        <w:numPr>
          <w:ilvl w:val="0"/>
          <w:numId w:val="2"/>
        </w:numPr>
        <w:shd w:val="clear" w:color="auto" w:fill="auto"/>
        <w:spacing w:after="60" w:line="240" w:lineRule="auto"/>
        <w:ind w:left="567" w:right="1" w:hanging="567"/>
        <w:jc w:val="left"/>
        <w:rPr>
          <w:b/>
          <w:sz w:val="22"/>
          <w:szCs w:val="22"/>
        </w:rPr>
      </w:pPr>
      <w:r w:rsidRPr="002676B6">
        <w:rPr>
          <w:b/>
          <w:sz w:val="22"/>
          <w:szCs w:val="22"/>
        </w:rPr>
        <w:t xml:space="preserve">Práva a povinnosti </w:t>
      </w:r>
      <w:r>
        <w:rPr>
          <w:b/>
          <w:sz w:val="22"/>
          <w:szCs w:val="22"/>
        </w:rPr>
        <w:t>PMDS</w:t>
      </w:r>
    </w:p>
    <w:p w:rsidR="009B496F" w:rsidRPr="002676B6" w:rsidRDefault="009B496F" w:rsidP="009B496F">
      <w:pPr>
        <w:pStyle w:val="Zkladntext2"/>
        <w:shd w:val="clear" w:color="auto" w:fill="auto"/>
        <w:spacing w:after="60" w:line="240" w:lineRule="auto"/>
        <w:ind w:left="567" w:right="1" w:firstLine="0"/>
        <w:jc w:val="left"/>
        <w:rPr>
          <w:b/>
          <w:sz w:val="22"/>
          <w:szCs w:val="22"/>
        </w:rPr>
      </w:pPr>
    </w:p>
    <w:p w:rsidR="009B496F" w:rsidRPr="002676B6" w:rsidRDefault="009B496F" w:rsidP="009B496F">
      <w:pPr>
        <w:pStyle w:val="Zkladntext2"/>
        <w:numPr>
          <w:ilvl w:val="1"/>
          <w:numId w:val="4"/>
        </w:numPr>
        <w:shd w:val="clear" w:color="auto" w:fill="auto"/>
        <w:tabs>
          <w:tab w:val="left" w:pos="567"/>
        </w:tabs>
        <w:spacing w:after="60" w:line="240" w:lineRule="auto"/>
        <w:ind w:left="567" w:right="1" w:hanging="567"/>
        <w:jc w:val="both"/>
        <w:rPr>
          <w:sz w:val="22"/>
          <w:szCs w:val="22"/>
        </w:rPr>
      </w:pPr>
      <w:r w:rsidRPr="002676B6">
        <w:rPr>
          <w:sz w:val="22"/>
          <w:szCs w:val="22"/>
        </w:rPr>
        <w:t>PMDS zabezpečuje prístup do miestnej distribučnej sústavy a distribúciu elektriny pre každé odberné miesto, ktoré je pripojené do miestnej distribučnej sústavy PMDS na základe Zmluvy o pripojení do distribučnej sústavy, a to do výšky dohodnutej rezervovanej kapacity s výnimkou, ak tomu bránia okolnosti nezávislé na vôli PMDS.</w:t>
      </w:r>
    </w:p>
    <w:p w:rsidR="009B496F" w:rsidRPr="002676B6" w:rsidRDefault="009B496F" w:rsidP="009B496F">
      <w:pPr>
        <w:pStyle w:val="Zkladntext2"/>
        <w:numPr>
          <w:ilvl w:val="1"/>
          <w:numId w:val="4"/>
        </w:numPr>
        <w:shd w:val="clear" w:color="auto" w:fill="auto"/>
        <w:tabs>
          <w:tab w:val="left" w:pos="567"/>
        </w:tabs>
        <w:spacing w:after="60" w:line="240" w:lineRule="auto"/>
        <w:ind w:left="567" w:right="1" w:hanging="567"/>
        <w:jc w:val="both"/>
        <w:rPr>
          <w:sz w:val="22"/>
          <w:szCs w:val="22"/>
        </w:rPr>
      </w:pPr>
      <w:r w:rsidRPr="002676B6">
        <w:rPr>
          <w:sz w:val="22"/>
          <w:szCs w:val="22"/>
        </w:rPr>
        <w:t>Objednávka a zmena dohodnutej rezervovanej kapacity prebieha podľa platného cenníka PMDS. Zmenu zaregistruje vo svojom systéme PMDS a zašle Dodávateľovi elektriny oznámenie o zmene.</w:t>
      </w:r>
    </w:p>
    <w:p w:rsidR="009B496F" w:rsidRPr="002676B6" w:rsidRDefault="009B496F" w:rsidP="009B496F">
      <w:pPr>
        <w:pStyle w:val="Zkladntext2"/>
        <w:numPr>
          <w:ilvl w:val="1"/>
          <w:numId w:val="4"/>
        </w:numPr>
        <w:shd w:val="clear" w:color="auto" w:fill="auto"/>
        <w:tabs>
          <w:tab w:val="left" w:pos="567"/>
        </w:tabs>
        <w:spacing w:after="60" w:line="240" w:lineRule="auto"/>
        <w:ind w:left="567" w:right="1" w:hanging="567"/>
        <w:jc w:val="both"/>
        <w:rPr>
          <w:sz w:val="22"/>
          <w:szCs w:val="22"/>
        </w:rPr>
      </w:pPr>
      <w:r w:rsidRPr="002676B6">
        <w:rPr>
          <w:sz w:val="22"/>
          <w:szCs w:val="22"/>
        </w:rPr>
        <w:t>PMDS zabezpečuje pre Dodávateľa elektriny odpočty odberných miest, ktoré sú pripojené do miestnej distribučnej sústavy PMDS, pre potreby zúčtovania dodávky elektriny, distribúcie elektriny a ostatných regulovaných služieb.</w:t>
      </w:r>
    </w:p>
    <w:p w:rsidR="009B496F" w:rsidRDefault="009B496F" w:rsidP="009B496F">
      <w:pPr>
        <w:pStyle w:val="Zkladntext2"/>
        <w:numPr>
          <w:ilvl w:val="1"/>
          <w:numId w:val="4"/>
        </w:numPr>
        <w:shd w:val="clear" w:color="auto" w:fill="auto"/>
        <w:tabs>
          <w:tab w:val="left" w:pos="567"/>
        </w:tabs>
        <w:spacing w:after="60" w:line="240" w:lineRule="auto"/>
        <w:ind w:left="567" w:right="1" w:hanging="567"/>
        <w:jc w:val="both"/>
        <w:rPr>
          <w:sz w:val="22"/>
          <w:szCs w:val="22"/>
        </w:rPr>
      </w:pPr>
      <w:r w:rsidRPr="002676B6">
        <w:rPr>
          <w:sz w:val="22"/>
          <w:szCs w:val="22"/>
        </w:rPr>
        <w:lastRenderedPageBreak/>
        <w:t>V prípade zisteného neoprávneného odberu na odbernom mieste odberateľa, ktoré je pripojené do miestnej distribučnej sústavy PMDS, Dodávateľ súhlasí, že PMDS je oprávnený prerušiť alebo ukončiť distribúciu elektriny do odberného miesta. PMDS o prerušení alebo ukončení distribúcie bezodkladne informuje Dodávateľa elektriny.</w:t>
      </w:r>
    </w:p>
    <w:p w:rsidR="009B496F" w:rsidRPr="002676B6" w:rsidRDefault="009B496F" w:rsidP="009B496F">
      <w:pPr>
        <w:pStyle w:val="Zkladntext2"/>
        <w:shd w:val="clear" w:color="auto" w:fill="auto"/>
        <w:tabs>
          <w:tab w:val="left" w:pos="567"/>
        </w:tabs>
        <w:spacing w:after="60" w:line="240" w:lineRule="auto"/>
        <w:ind w:left="567" w:right="1" w:firstLine="0"/>
        <w:jc w:val="both"/>
        <w:rPr>
          <w:sz w:val="22"/>
          <w:szCs w:val="22"/>
        </w:rPr>
      </w:pPr>
    </w:p>
    <w:p w:rsidR="009B496F" w:rsidRDefault="009B496F" w:rsidP="009B496F">
      <w:pPr>
        <w:pStyle w:val="Zkladntext2"/>
        <w:numPr>
          <w:ilvl w:val="0"/>
          <w:numId w:val="2"/>
        </w:numPr>
        <w:shd w:val="clear" w:color="auto" w:fill="auto"/>
        <w:spacing w:after="60" w:line="240" w:lineRule="auto"/>
        <w:ind w:left="567" w:right="1" w:hanging="567"/>
        <w:jc w:val="left"/>
        <w:rPr>
          <w:b/>
          <w:sz w:val="22"/>
          <w:szCs w:val="22"/>
        </w:rPr>
      </w:pPr>
      <w:r w:rsidRPr="002676B6">
        <w:rPr>
          <w:b/>
          <w:sz w:val="22"/>
          <w:szCs w:val="22"/>
        </w:rPr>
        <w:t xml:space="preserve">Práva a povinnosti </w:t>
      </w:r>
      <w:r>
        <w:rPr>
          <w:b/>
          <w:sz w:val="22"/>
          <w:szCs w:val="22"/>
        </w:rPr>
        <w:t>D</w:t>
      </w:r>
      <w:r w:rsidRPr="002676B6">
        <w:rPr>
          <w:b/>
          <w:sz w:val="22"/>
          <w:szCs w:val="22"/>
        </w:rPr>
        <w:t>odávateľa elektriny</w:t>
      </w:r>
    </w:p>
    <w:p w:rsidR="009B496F" w:rsidRPr="002676B6" w:rsidRDefault="009B496F" w:rsidP="009B496F">
      <w:pPr>
        <w:pStyle w:val="Zkladntext2"/>
        <w:shd w:val="clear" w:color="auto" w:fill="auto"/>
        <w:spacing w:after="60" w:line="240" w:lineRule="auto"/>
        <w:ind w:left="567" w:right="1" w:firstLine="0"/>
        <w:jc w:val="left"/>
        <w:rPr>
          <w:b/>
          <w:sz w:val="22"/>
          <w:szCs w:val="22"/>
        </w:rPr>
      </w:pPr>
    </w:p>
    <w:p w:rsidR="009B496F" w:rsidRPr="002676B6" w:rsidRDefault="009B496F" w:rsidP="009B496F">
      <w:pPr>
        <w:pStyle w:val="Zkladntext2"/>
        <w:numPr>
          <w:ilvl w:val="1"/>
          <w:numId w:val="5"/>
        </w:numPr>
        <w:shd w:val="clear" w:color="auto" w:fill="auto"/>
        <w:tabs>
          <w:tab w:val="left" w:pos="567"/>
        </w:tabs>
        <w:spacing w:after="60" w:line="240" w:lineRule="auto"/>
        <w:ind w:left="567" w:right="1" w:hanging="567"/>
        <w:jc w:val="both"/>
        <w:rPr>
          <w:sz w:val="22"/>
          <w:szCs w:val="22"/>
        </w:rPr>
      </w:pPr>
      <w:r w:rsidRPr="002676B6">
        <w:rPr>
          <w:sz w:val="22"/>
          <w:szCs w:val="22"/>
        </w:rPr>
        <w:t>Dodávateľ elektriny pri každej zmene technických alebo netechnických údajov odberného miesta odberateľa elektriny bezodkladne po tom, ako sa o týchto skutočnostiach dozvie, informuje o týchto skutočnostiach PMDS v súlade s technickou špecifikáciou. Za nesplnenie tejto povinnosti má PMDS právo uplatniť proti Dodávateľovi elektriny zmluvnú pokutu vo výške 10 eur za každé odberné miesto.</w:t>
      </w:r>
    </w:p>
    <w:p w:rsidR="009B496F" w:rsidRPr="002676B6" w:rsidRDefault="009B496F" w:rsidP="009B496F">
      <w:pPr>
        <w:pStyle w:val="Zkladntext2"/>
        <w:numPr>
          <w:ilvl w:val="1"/>
          <w:numId w:val="5"/>
        </w:numPr>
        <w:shd w:val="clear" w:color="auto" w:fill="auto"/>
        <w:tabs>
          <w:tab w:val="left" w:pos="567"/>
        </w:tabs>
        <w:spacing w:after="60" w:line="240" w:lineRule="auto"/>
        <w:ind w:left="567" w:right="1" w:hanging="567"/>
        <w:jc w:val="both"/>
        <w:rPr>
          <w:sz w:val="22"/>
          <w:szCs w:val="22"/>
        </w:rPr>
      </w:pPr>
      <w:r w:rsidRPr="002676B6">
        <w:rPr>
          <w:sz w:val="22"/>
          <w:szCs w:val="22"/>
        </w:rPr>
        <w:t>Ak odberateľ elektriny odoberá elektrinu v rozpore so Zmluvou o združenej dodávke elektriny, môže Dodávateľ elektriny požiadať PMDS o prerušenie distribúcie do odberného miesta, ktoré je pripojené do miestnej distribučnej sústavy PMDS a PMDS prerušenie vykoná a potvrdí Dodávateľovi elektriny do dvoch pracovných dní po dni, v ktorom bola prijatá požiadavka na prerušenie distribúcie elektriny. Ak pominú dôvody na prerušenie distribúcie elektriny do odberného miesta, ktoré je pripojené do miestnej distribučnej sústavy PMDS, Dodávateľ elektriny požiada o obnovenie distribúcie. PMDS obnoví distribúciu do jedného pracovného dňa od prijatia požiadavky Dodávateľa elektriny.</w:t>
      </w:r>
    </w:p>
    <w:p w:rsidR="009B496F" w:rsidRPr="002676B6" w:rsidRDefault="009B496F" w:rsidP="009B496F">
      <w:pPr>
        <w:pStyle w:val="Zkladntext2"/>
        <w:shd w:val="clear" w:color="auto" w:fill="auto"/>
        <w:tabs>
          <w:tab w:val="left" w:pos="368"/>
        </w:tabs>
        <w:spacing w:after="60" w:line="240" w:lineRule="auto"/>
        <w:ind w:left="567" w:right="1" w:hanging="567"/>
        <w:jc w:val="both"/>
        <w:rPr>
          <w:sz w:val="22"/>
          <w:szCs w:val="22"/>
        </w:rPr>
      </w:pPr>
    </w:p>
    <w:p w:rsidR="009B496F" w:rsidRDefault="009B496F" w:rsidP="009B496F">
      <w:pPr>
        <w:pStyle w:val="Hlavikaalebopta0"/>
        <w:numPr>
          <w:ilvl w:val="0"/>
          <w:numId w:val="2"/>
        </w:numPr>
        <w:shd w:val="clear" w:color="auto" w:fill="auto"/>
        <w:spacing w:after="60" w:line="240" w:lineRule="auto"/>
        <w:ind w:left="567" w:right="1" w:hanging="567"/>
        <w:rPr>
          <w:sz w:val="22"/>
          <w:szCs w:val="22"/>
        </w:rPr>
      </w:pPr>
      <w:r w:rsidRPr="002676B6">
        <w:rPr>
          <w:sz w:val="22"/>
          <w:szCs w:val="22"/>
        </w:rPr>
        <w:t>Cena a platobné podmienky</w:t>
      </w:r>
    </w:p>
    <w:p w:rsidR="009B496F" w:rsidRPr="002676B6" w:rsidRDefault="009B496F" w:rsidP="009B496F">
      <w:pPr>
        <w:pStyle w:val="Hlavikaalebopta0"/>
        <w:shd w:val="clear" w:color="auto" w:fill="auto"/>
        <w:spacing w:after="60" w:line="240" w:lineRule="auto"/>
        <w:ind w:left="567" w:right="1"/>
        <w:rPr>
          <w:sz w:val="22"/>
          <w:szCs w:val="22"/>
        </w:rPr>
      </w:pP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PMDS účtuje Dodávateľovi elektriny jednotlivé regulované poplatky podľa rozhodnutí Úradu pre reguláciu sieťových odvetví, vrátane ostatných poplatkov v súlade so všeobecne záväznými právnymi predpismi. PMDS zašle v prípade zmeny cenníka PMDS Dodávateľovi elektriny nový cenník najmenej 30 dní pred jeho účinnosťou a zároveň ho uverejní na svojom webovom sídle. Ak medzi nadobudnutím účinnosti rozhodnutia Úradu pre reguláciu sieťových odvetví a účinnosťou cenníka schváleného Úradom pre reguláciu sieťových odvetví je menej ako 30 dní, považuje sa táto povinnosť za dodržanú, ak PMDS uverejní schválený cenník na svojom webovom sídle najneskôr tri dni po doručení rozhodnutia Úradu pre reguláciu sieťových odvetví a informuje o tom dodávateľov elektriny prostredníctvom elektronickej komunikácie. PMDS účtuje Dodávateľovi elektriny nové ceny odo dňa účinnosti zmeny cenníka PMDS.</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Všetky úhrady sa realizujú bezhotovostným prevodom. Úhradou sa rozumie pripísanie celej fakturovanej čiastky na účet PMDS alebo Dodávateľa elektriny.</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V bankovom styku budú používané variabilné symboly uvedené na príslušnej faktúre. Konštantné symboly budú používané podľa platných bankových pravidiel.</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Ak Dodávateľ elektriny poukáže platbu s nesprávnym variabilným alebo konštantným symbolom, alebo ju poukáže na iný bankový účet PMDS ako je uvedený na faktúre, PMDS platbu môže vrátiť ako neidentifikovateľnú a je oprávnený účtovať Dodávateľovi elektriny úrok z omeškania od dátumu vrátenia peňazí až do obdržania správne poukázanej platby.</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 xml:space="preserve">Ak je Dodávateľ elektriny v omeškaní s akoukoľvek platbou podľa tejto Zmluvy, PMDS má právo zaslať mu upomienku s výzvou na uhradenie dlžnej </w:t>
      </w:r>
      <w:r w:rsidRPr="002676B6">
        <w:rPr>
          <w:sz w:val="22"/>
          <w:szCs w:val="22"/>
        </w:rPr>
        <w:lastRenderedPageBreak/>
        <w:t xml:space="preserve">čiastky. Poplatok za upomienku vo výške 10 eur uhrádza Dodávateľ elektriny. </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Faktúra sa zasiela Dodávateľovi elektriny elektronicky a následne poštou. Za rozhodujúci deň pre doručenie faktúry Dodávateľovi elektriny sa považuje deň doručenia faktúry elektronicky na adresu elektronickej pošty určenú Dodávateľom elektriny v záhlaví Zmluvy.</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 xml:space="preserve">Ak pripadne deň splatnosti faktúry na deň pracovného voľna alebo sviatok, je dňom splatnosti najbližší nasledujúci pracovný deň. PMDS je oprávnený preplatok započítať so splatnými pohľadávkami Dodávateľa elektriny vzniknutými pred fakturáciou preplatku. </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Za omeškanie splatnej platby môžu Zmluvné strany fakturovať úrok z omeškania vo výške 0,05 % z dlžnej čiastky za každý deň omeškania.</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Počet dní omeškania v prípade oneskorenej úhrady sa počíta od dátumu splatnosti záväzku do dátumu jeho úhrady.</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Mesačná vyúčtovacia faktúra obsahuje vyúčtovanie za distribúciu elektriny podľa rozhodnutí Úradu pre reguláciu sieťových odvetví vrátane ostatných poplatkov v súlade so všeobecne záväznými právnymi predpismi za odberné miesta, ktoré sú pripojené do miestnej distribučnej sústavy PMDS a do ktorých Dodávateľ elektriny dodáva elektrinu na základe Zmluvy o združenej dodávke elektriny, a to na základe riadneho odpočtu určených meradiel.</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Mesačná vyúčtovacia faktúra obsahuje náležitosti, ktoré ukladajú osobitné právne predpisy.</w:t>
      </w:r>
    </w:p>
    <w:p w:rsidR="009B496F" w:rsidRPr="002676B6"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Mesačnú vyúčtovaciu faktúru vystaví PMDS Dodávateľovi elektriny do 15 kalendárnych dní po skončení kalendárneho mesiaca. Prílohou faktúry je rozpis fakturovaných položiek jednotlivo za každé odberné miesto, ktoré je pripojené do miestnej distribučnej sústavy</w:t>
      </w:r>
      <w:r w:rsidR="000504B9">
        <w:rPr>
          <w:sz w:val="22"/>
          <w:szCs w:val="22"/>
        </w:rPr>
        <w:t xml:space="preserve"> </w:t>
      </w:r>
      <w:r w:rsidRPr="002676B6">
        <w:rPr>
          <w:sz w:val="22"/>
          <w:szCs w:val="22"/>
        </w:rPr>
        <w:t>PMDS, do ktorého Dodávateľ elektriny v príslušnom mesiaci dodával elektrinu na základe Zmluvy o združenej dodávke elektriny.</w:t>
      </w:r>
    </w:p>
    <w:p w:rsidR="009B496F" w:rsidRDefault="009B496F" w:rsidP="009B496F">
      <w:pPr>
        <w:pStyle w:val="Zkladntext2"/>
        <w:numPr>
          <w:ilvl w:val="1"/>
          <w:numId w:val="6"/>
        </w:numPr>
        <w:shd w:val="clear" w:color="auto" w:fill="auto"/>
        <w:tabs>
          <w:tab w:val="left" w:pos="567"/>
        </w:tabs>
        <w:spacing w:after="60" w:line="240" w:lineRule="auto"/>
        <w:ind w:left="567" w:right="1" w:hanging="567"/>
        <w:jc w:val="both"/>
        <w:rPr>
          <w:sz w:val="22"/>
          <w:szCs w:val="22"/>
        </w:rPr>
      </w:pPr>
      <w:r w:rsidRPr="002676B6">
        <w:rPr>
          <w:sz w:val="22"/>
          <w:szCs w:val="22"/>
        </w:rPr>
        <w:t>V prípade opravy fakturačných údajov za predchádzajúce obdobie vyhotoví PMDS opravnú faktúru za príslušný mesiac, ktorého sa oprava týka. Prílohou opravnej faktúry je elektronický rozpis pôvodných a nových fakturovaných položiek jednotlivo za každé odberné miesto, ktoré je pripojené do miestnej distribučnej sústavy PMDS, do ktorého Dodávateľ elektriny dodáva elektrinu na základe Zmluvy o združenej dodávke elektriny.</w:t>
      </w:r>
    </w:p>
    <w:p w:rsidR="009B496F" w:rsidRPr="002676B6" w:rsidRDefault="009B496F" w:rsidP="009B496F">
      <w:pPr>
        <w:pStyle w:val="Zkladntext2"/>
        <w:shd w:val="clear" w:color="auto" w:fill="auto"/>
        <w:tabs>
          <w:tab w:val="left" w:pos="567"/>
        </w:tabs>
        <w:spacing w:after="60" w:line="240" w:lineRule="auto"/>
        <w:ind w:left="567" w:right="1" w:firstLine="0"/>
        <w:jc w:val="both"/>
        <w:rPr>
          <w:sz w:val="22"/>
          <w:szCs w:val="22"/>
        </w:rPr>
      </w:pPr>
    </w:p>
    <w:p w:rsidR="009B496F" w:rsidRDefault="009B496F" w:rsidP="009B496F">
      <w:pPr>
        <w:pStyle w:val="Zkladntext2"/>
        <w:numPr>
          <w:ilvl w:val="0"/>
          <w:numId w:val="2"/>
        </w:numPr>
        <w:shd w:val="clear" w:color="auto" w:fill="auto"/>
        <w:spacing w:after="60" w:line="240" w:lineRule="auto"/>
        <w:ind w:left="567" w:right="1" w:hanging="567"/>
        <w:jc w:val="left"/>
        <w:rPr>
          <w:b/>
          <w:sz w:val="22"/>
          <w:szCs w:val="22"/>
        </w:rPr>
      </w:pPr>
      <w:r w:rsidRPr="002676B6">
        <w:rPr>
          <w:b/>
          <w:sz w:val="22"/>
          <w:szCs w:val="22"/>
        </w:rPr>
        <w:t>Obmedzenie, preruše</w:t>
      </w:r>
      <w:r>
        <w:rPr>
          <w:b/>
          <w:sz w:val="22"/>
          <w:szCs w:val="22"/>
        </w:rPr>
        <w:t>nie alebo ukončenie distribúcie</w:t>
      </w:r>
    </w:p>
    <w:p w:rsidR="009B496F" w:rsidRPr="002676B6" w:rsidRDefault="009B496F" w:rsidP="009B496F">
      <w:pPr>
        <w:pStyle w:val="Zkladntext2"/>
        <w:shd w:val="clear" w:color="auto" w:fill="auto"/>
        <w:spacing w:after="60" w:line="240" w:lineRule="auto"/>
        <w:ind w:left="567" w:right="1" w:firstLine="0"/>
        <w:jc w:val="left"/>
        <w:rPr>
          <w:b/>
          <w:sz w:val="22"/>
          <w:szCs w:val="22"/>
        </w:rPr>
      </w:pPr>
    </w:p>
    <w:p w:rsidR="009B496F" w:rsidRPr="002676B6" w:rsidRDefault="009B496F" w:rsidP="009B496F">
      <w:pPr>
        <w:pStyle w:val="Zkladntext2"/>
        <w:numPr>
          <w:ilvl w:val="1"/>
          <w:numId w:val="7"/>
        </w:numPr>
        <w:shd w:val="clear" w:color="auto" w:fill="auto"/>
        <w:tabs>
          <w:tab w:val="left" w:pos="567"/>
        </w:tabs>
        <w:spacing w:after="60" w:line="240" w:lineRule="auto"/>
        <w:ind w:left="567" w:right="1" w:hanging="567"/>
        <w:jc w:val="both"/>
        <w:rPr>
          <w:sz w:val="22"/>
          <w:szCs w:val="22"/>
        </w:rPr>
      </w:pPr>
      <w:r w:rsidRPr="002676B6">
        <w:rPr>
          <w:sz w:val="22"/>
          <w:szCs w:val="22"/>
        </w:rPr>
        <w:t>PMDS má právo obmedziť, prerušiť alebo ukončiť distribúciu elektriny v prípadoch uvedených v platných právnych predpisoch.</w:t>
      </w:r>
    </w:p>
    <w:p w:rsidR="009B496F" w:rsidRPr="002676B6" w:rsidRDefault="009B496F" w:rsidP="009B496F">
      <w:pPr>
        <w:pStyle w:val="Zkladntext2"/>
        <w:numPr>
          <w:ilvl w:val="1"/>
          <w:numId w:val="7"/>
        </w:numPr>
        <w:shd w:val="clear" w:color="auto" w:fill="auto"/>
        <w:tabs>
          <w:tab w:val="left" w:pos="567"/>
        </w:tabs>
        <w:spacing w:after="60" w:line="240" w:lineRule="auto"/>
        <w:ind w:left="567" w:right="1" w:hanging="567"/>
        <w:jc w:val="both"/>
        <w:rPr>
          <w:sz w:val="22"/>
          <w:szCs w:val="22"/>
        </w:rPr>
      </w:pPr>
      <w:r w:rsidRPr="002676B6">
        <w:rPr>
          <w:sz w:val="22"/>
          <w:szCs w:val="22"/>
        </w:rPr>
        <w:t>PMDS oznamuje začiatok plánovaného prerušenia distribúcie elektriny a dobu trvania prerušenia distribúcie elektriny podľa príslušných právnych predpisov.</w:t>
      </w:r>
    </w:p>
    <w:p w:rsidR="009B496F" w:rsidRPr="002676B6" w:rsidRDefault="009B496F" w:rsidP="009B496F">
      <w:pPr>
        <w:pStyle w:val="Zkladntext2"/>
        <w:numPr>
          <w:ilvl w:val="1"/>
          <w:numId w:val="7"/>
        </w:numPr>
        <w:shd w:val="clear" w:color="auto" w:fill="auto"/>
        <w:tabs>
          <w:tab w:val="left" w:pos="567"/>
        </w:tabs>
        <w:spacing w:after="60" w:line="240" w:lineRule="auto"/>
        <w:ind w:left="567" w:right="1" w:hanging="567"/>
        <w:jc w:val="both"/>
        <w:rPr>
          <w:sz w:val="22"/>
          <w:szCs w:val="22"/>
        </w:rPr>
      </w:pPr>
      <w:r w:rsidRPr="002676B6">
        <w:rPr>
          <w:sz w:val="22"/>
          <w:szCs w:val="22"/>
        </w:rPr>
        <w:t>Dodávateľ elektriny má právo požiadať PMDS o prerušenie alebo ukončenie distribúcie do odberných miest, ktoré sú pripojené do miestnej distribučnej sústavy PMDS, a do ktorých Dodávateľ elektriny dodáva elektrinu na základe Zmluvy o združenej dodávke elektriny. Ukončenie distribúcie je možné ku ktorémukoľvek dňu v mesiaci.</w:t>
      </w:r>
    </w:p>
    <w:p w:rsidR="009B496F" w:rsidRPr="002676B6" w:rsidRDefault="009B496F" w:rsidP="009B496F">
      <w:pPr>
        <w:pStyle w:val="Zkladntext2"/>
        <w:numPr>
          <w:ilvl w:val="1"/>
          <w:numId w:val="7"/>
        </w:numPr>
        <w:shd w:val="clear" w:color="auto" w:fill="auto"/>
        <w:tabs>
          <w:tab w:val="left" w:pos="567"/>
        </w:tabs>
        <w:spacing w:after="60" w:line="240" w:lineRule="auto"/>
        <w:ind w:left="567" w:right="1" w:hanging="567"/>
        <w:jc w:val="both"/>
        <w:rPr>
          <w:sz w:val="22"/>
          <w:szCs w:val="22"/>
        </w:rPr>
      </w:pPr>
      <w:r w:rsidRPr="002676B6">
        <w:rPr>
          <w:sz w:val="22"/>
          <w:szCs w:val="22"/>
        </w:rPr>
        <w:t>K ukončeniu distribúcie elektriny dochádza aj ukončením Zmluvy o pripojení týkajúcej sa daného odberného miesta.</w:t>
      </w:r>
    </w:p>
    <w:p w:rsidR="009B496F" w:rsidRDefault="009B496F" w:rsidP="009B496F">
      <w:pPr>
        <w:pStyle w:val="Zkladntext2"/>
        <w:numPr>
          <w:ilvl w:val="1"/>
          <w:numId w:val="7"/>
        </w:numPr>
        <w:shd w:val="clear" w:color="auto" w:fill="auto"/>
        <w:tabs>
          <w:tab w:val="left" w:pos="567"/>
        </w:tabs>
        <w:spacing w:after="60" w:line="240" w:lineRule="auto"/>
        <w:ind w:left="567" w:right="1" w:hanging="567"/>
        <w:jc w:val="both"/>
        <w:rPr>
          <w:sz w:val="22"/>
          <w:szCs w:val="22"/>
        </w:rPr>
      </w:pPr>
      <w:r w:rsidRPr="002676B6">
        <w:rPr>
          <w:sz w:val="22"/>
          <w:szCs w:val="22"/>
        </w:rPr>
        <w:t>Ukončenie distribúcie elektriny do jedného alebo viacerých odberných miest, ktoré sú pripojené do miestnej distribučnej sústavy PMDS, do ktorých Dodávateľ elektriny dodáva elektrinu na základe Zmluvy o združenej dodávke elektriny, nemá vplyv na distribúciu do ostatných odberných miest, ktoré sú pripojené do miestnej distribučnej sústavy PMDS a do ktorých Dodávateľ elektriny dodáva elektrinu na základe Zmluvy o združenej dodávke elektriny, ani na platnosť tejto Zmluvy.</w:t>
      </w:r>
    </w:p>
    <w:p w:rsidR="009B496F" w:rsidRPr="002676B6" w:rsidRDefault="009B496F" w:rsidP="009B496F">
      <w:pPr>
        <w:pStyle w:val="Zkladntext2"/>
        <w:shd w:val="clear" w:color="auto" w:fill="auto"/>
        <w:tabs>
          <w:tab w:val="left" w:pos="567"/>
        </w:tabs>
        <w:spacing w:after="60" w:line="240" w:lineRule="auto"/>
        <w:ind w:left="567" w:right="1" w:firstLine="0"/>
        <w:jc w:val="both"/>
        <w:rPr>
          <w:sz w:val="22"/>
          <w:szCs w:val="22"/>
        </w:rPr>
      </w:pPr>
    </w:p>
    <w:p w:rsidR="009B496F" w:rsidRDefault="009B496F" w:rsidP="009B496F">
      <w:pPr>
        <w:pStyle w:val="Zkladntext2"/>
        <w:numPr>
          <w:ilvl w:val="0"/>
          <w:numId w:val="2"/>
        </w:numPr>
        <w:shd w:val="clear" w:color="auto" w:fill="auto"/>
        <w:spacing w:after="60" w:line="240" w:lineRule="auto"/>
        <w:ind w:left="567" w:right="1" w:hanging="567"/>
        <w:jc w:val="left"/>
        <w:rPr>
          <w:b/>
          <w:sz w:val="22"/>
          <w:szCs w:val="22"/>
        </w:rPr>
      </w:pPr>
      <w:r w:rsidRPr="002676B6">
        <w:rPr>
          <w:b/>
          <w:sz w:val="22"/>
          <w:szCs w:val="22"/>
        </w:rPr>
        <w:t>Predchádzanie škodám</w:t>
      </w:r>
    </w:p>
    <w:p w:rsidR="009B496F" w:rsidRPr="002676B6" w:rsidRDefault="009B496F" w:rsidP="009B496F">
      <w:pPr>
        <w:pStyle w:val="Zkladntext2"/>
        <w:shd w:val="clear" w:color="auto" w:fill="auto"/>
        <w:spacing w:after="60" w:line="240" w:lineRule="auto"/>
        <w:ind w:left="567" w:right="1" w:firstLine="0"/>
        <w:jc w:val="left"/>
        <w:rPr>
          <w:b/>
          <w:sz w:val="22"/>
          <w:szCs w:val="22"/>
        </w:rPr>
      </w:pPr>
    </w:p>
    <w:p w:rsidR="009B496F" w:rsidRPr="002676B6" w:rsidRDefault="009B496F" w:rsidP="009B496F">
      <w:pPr>
        <w:pStyle w:val="Zkladntext2"/>
        <w:numPr>
          <w:ilvl w:val="1"/>
          <w:numId w:val="8"/>
        </w:numPr>
        <w:shd w:val="clear" w:color="auto" w:fill="auto"/>
        <w:tabs>
          <w:tab w:val="left" w:pos="567"/>
        </w:tabs>
        <w:spacing w:after="60" w:line="240" w:lineRule="auto"/>
        <w:ind w:left="567" w:right="1" w:hanging="567"/>
        <w:jc w:val="both"/>
        <w:rPr>
          <w:sz w:val="22"/>
          <w:szCs w:val="22"/>
        </w:rPr>
      </w:pPr>
      <w:r w:rsidRPr="002676B6">
        <w:rPr>
          <w:sz w:val="22"/>
          <w:szCs w:val="22"/>
        </w:rPr>
        <w:t>Zmluvné strany sa zaväzujú navzájom sa informovať o skutočnostiach, o ktorých sú si vedomé, že by mohli viesť ku škodám a usilovať sa o odvrátenie hroziacich škôd. Pri predchádzaní škodám a pri odvracaní hroziacich škôd PMDS primárne zabezpečuje bezpečnosť a spoľahlivosť prevádzky miestnej distribučnej sústavy.</w:t>
      </w:r>
    </w:p>
    <w:p w:rsidR="009B496F" w:rsidRPr="002676B6" w:rsidRDefault="009B496F" w:rsidP="009B496F">
      <w:pPr>
        <w:pStyle w:val="Zkladntext2"/>
        <w:numPr>
          <w:ilvl w:val="1"/>
          <w:numId w:val="8"/>
        </w:numPr>
        <w:shd w:val="clear" w:color="auto" w:fill="auto"/>
        <w:tabs>
          <w:tab w:val="left" w:pos="567"/>
        </w:tabs>
        <w:spacing w:after="60" w:line="240" w:lineRule="auto"/>
        <w:ind w:left="567" w:right="1" w:hanging="567"/>
        <w:jc w:val="both"/>
        <w:rPr>
          <w:sz w:val="22"/>
          <w:szCs w:val="22"/>
        </w:rPr>
      </w:pPr>
      <w:r w:rsidRPr="002676B6">
        <w:rPr>
          <w:sz w:val="22"/>
          <w:szCs w:val="22"/>
        </w:rPr>
        <w:t>Zmluvné strany sú zbavené zodpovednosti za čiastočné alebo úplné neplnenie povinnosti vyplývajúcich z tejto Zmluvy, a to v prípadoch, keď toto neplnenie bolo výsledkom okolnosti vylučujúcich zodpovednosť podľa § 374 Obchodného zákonníka, alebo podmienok vyplývajúcich z platných právnych predpisov.</w:t>
      </w:r>
    </w:p>
    <w:p w:rsidR="009B496F" w:rsidRPr="002676B6" w:rsidRDefault="009B496F" w:rsidP="009B496F">
      <w:pPr>
        <w:pStyle w:val="Zkladntext2"/>
        <w:numPr>
          <w:ilvl w:val="1"/>
          <w:numId w:val="8"/>
        </w:numPr>
        <w:shd w:val="clear" w:color="auto" w:fill="auto"/>
        <w:tabs>
          <w:tab w:val="left" w:pos="567"/>
        </w:tabs>
        <w:spacing w:after="60" w:line="240" w:lineRule="auto"/>
        <w:ind w:left="567" w:right="1" w:hanging="567"/>
        <w:jc w:val="both"/>
        <w:rPr>
          <w:sz w:val="22"/>
          <w:szCs w:val="22"/>
        </w:rPr>
      </w:pPr>
      <w:r w:rsidRPr="002676B6">
        <w:rPr>
          <w:sz w:val="22"/>
          <w:szCs w:val="22"/>
        </w:rPr>
        <w:t>Za okolnosti vylučujúce zodpovednosť je považovaná prekážka, ktorá nastala po uzavretí tejto Zmluvy nezávisle na vôli jednej zo Zmluvných strán a bráni jej v plnení povinností, ak sa nedá rozumne predpokladať, že by túto prekážku, alebo jej následky odvrátila. Strana dotknutá okolnosťami vylučujúcimi jej zodpovednosť, je povinná o týchto okolnostiach bezodkladne písomne informovať druhú Zmluvnú stranu a vyzvať ju k rokovaniu. Na požiadanie predloží Zmluvná strana, odvolávajúca sa na okolnosti vylučujúce zodpovednosť, druhej Zmluvnej strane dôveryhodný dôkaz o takejto skutočnosti. Pokiaľ sa Zmluvné strany nedohodnú inak, pokračujú po vzniku okolností vylučujúcich zodpovednosť v plnení svojich záväzkov podľa tejto Zmluvy, pokiaľ je to rozumne možné a budú hľadať iné alternatívne prostriedky pre plnenie Zmluvy, ktorým nebránia okolnosti vylučujúce zodpovednosť.</w:t>
      </w:r>
    </w:p>
    <w:p w:rsidR="009B496F" w:rsidRPr="002676B6" w:rsidRDefault="009B496F" w:rsidP="009B496F">
      <w:pPr>
        <w:spacing w:after="60" w:line="240" w:lineRule="auto"/>
        <w:ind w:left="567" w:right="1" w:hanging="567"/>
        <w:rPr>
          <w:rFonts w:ascii="Times New Roman" w:hAnsi="Times New Roman" w:cs="Times New Roman"/>
        </w:rPr>
      </w:pPr>
    </w:p>
    <w:p w:rsidR="009B496F" w:rsidRDefault="009B496F" w:rsidP="009B496F">
      <w:pPr>
        <w:pStyle w:val="Hlavikaalebopta0"/>
        <w:numPr>
          <w:ilvl w:val="0"/>
          <w:numId w:val="2"/>
        </w:numPr>
        <w:shd w:val="clear" w:color="auto" w:fill="auto"/>
        <w:spacing w:after="60" w:line="240" w:lineRule="auto"/>
        <w:ind w:left="567" w:right="1" w:hanging="567"/>
        <w:rPr>
          <w:sz w:val="22"/>
          <w:szCs w:val="22"/>
        </w:rPr>
      </w:pPr>
      <w:r>
        <w:rPr>
          <w:sz w:val="22"/>
          <w:szCs w:val="22"/>
        </w:rPr>
        <w:t>T</w:t>
      </w:r>
      <w:r w:rsidRPr="002676B6">
        <w:rPr>
          <w:sz w:val="22"/>
          <w:szCs w:val="22"/>
        </w:rPr>
        <w:t>rvani</w:t>
      </w:r>
      <w:r>
        <w:rPr>
          <w:sz w:val="22"/>
          <w:szCs w:val="22"/>
        </w:rPr>
        <w:t>e a ukončenie</w:t>
      </w:r>
      <w:r w:rsidRPr="002676B6">
        <w:rPr>
          <w:sz w:val="22"/>
          <w:szCs w:val="22"/>
        </w:rPr>
        <w:t xml:space="preserve"> zmluvy </w:t>
      </w:r>
    </w:p>
    <w:p w:rsidR="009B496F" w:rsidRPr="002676B6" w:rsidRDefault="009B496F" w:rsidP="009B496F">
      <w:pPr>
        <w:pStyle w:val="Hlavikaalebopta0"/>
        <w:shd w:val="clear" w:color="auto" w:fill="auto"/>
        <w:spacing w:after="60" w:line="240" w:lineRule="auto"/>
        <w:ind w:left="567" w:right="1"/>
        <w:rPr>
          <w:sz w:val="22"/>
          <w:szCs w:val="22"/>
        </w:rPr>
      </w:pP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Zmluva sa uzatvára na dobu neurčitú. Zmluva nadobúda platnosť dňom jej podpisu oboma Zmluvnými stranami.</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Táto Zmluva zaniká:</w:t>
      </w:r>
    </w:p>
    <w:p w:rsidR="009B496F" w:rsidRPr="002676B6" w:rsidRDefault="009B496F" w:rsidP="009B496F">
      <w:pPr>
        <w:pStyle w:val="Zkladntext2"/>
        <w:numPr>
          <w:ilvl w:val="0"/>
          <w:numId w:val="1"/>
        </w:numPr>
        <w:shd w:val="clear" w:color="auto" w:fill="auto"/>
        <w:tabs>
          <w:tab w:val="left" w:pos="1134"/>
        </w:tabs>
        <w:spacing w:after="60" w:line="240" w:lineRule="auto"/>
        <w:ind w:left="1134" w:right="1" w:hanging="567"/>
        <w:jc w:val="both"/>
        <w:rPr>
          <w:sz w:val="22"/>
          <w:szCs w:val="22"/>
        </w:rPr>
      </w:pPr>
      <w:r w:rsidRPr="002676B6">
        <w:rPr>
          <w:sz w:val="22"/>
          <w:szCs w:val="22"/>
        </w:rPr>
        <w:t>dohodou Zmluvných strán,</w:t>
      </w:r>
    </w:p>
    <w:p w:rsidR="009B496F" w:rsidRPr="002676B6" w:rsidRDefault="009B496F" w:rsidP="009B496F">
      <w:pPr>
        <w:pStyle w:val="Zkladntext2"/>
        <w:numPr>
          <w:ilvl w:val="0"/>
          <w:numId w:val="1"/>
        </w:numPr>
        <w:shd w:val="clear" w:color="auto" w:fill="auto"/>
        <w:tabs>
          <w:tab w:val="left" w:pos="1134"/>
        </w:tabs>
        <w:spacing w:after="60" w:line="240" w:lineRule="auto"/>
        <w:ind w:left="1134" w:right="1" w:hanging="567"/>
        <w:jc w:val="both"/>
        <w:rPr>
          <w:sz w:val="22"/>
          <w:szCs w:val="22"/>
        </w:rPr>
      </w:pPr>
      <w:r w:rsidRPr="002676B6">
        <w:rPr>
          <w:sz w:val="22"/>
          <w:szCs w:val="22"/>
        </w:rPr>
        <w:t>výpoveďou Zmluvy podľa ods. 3 a 5,</w:t>
      </w:r>
    </w:p>
    <w:p w:rsidR="009B496F" w:rsidRPr="002676B6" w:rsidRDefault="009B496F" w:rsidP="009B496F">
      <w:pPr>
        <w:pStyle w:val="Zkladntext2"/>
        <w:numPr>
          <w:ilvl w:val="0"/>
          <w:numId w:val="1"/>
        </w:numPr>
        <w:shd w:val="clear" w:color="auto" w:fill="auto"/>
        <w:tabs>
          <w:tab w:val="left" w:pos="1134"/>
        </w:tabs>
        <w:spacing w:after="60" w:line="240" w:lineRule="auto"/>
        <w:ind w:left="1134" w:right="1" w:hanging="567"/>
        <w:jc w:val="both"/>
        <w:rPr>
          <w:sz w:val="22"/>
          <w:szCs w:val="22"/>
        </w:rPr>
      </w:pPr>
      <w:r w:rsidRPr="002676B6">
        <w:rPr>
          <w:sz w:val="22"/>
          <w:szCs w:val="22"/>
        </w:rPr>
        <w:t>zánikom odberného miesta odberateľa, ktoré je pripojené do miestnej distribučnej sústavy PMDS a do ktorého Dodávateľ elektriny dodáva elektrinu na základe Zmluvy o združenej dodávke elektriny,</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 xml:space="preserve">V prípade podstatného porušenia Zmluvy zo strany Dodávateľa elektriny a v prípade neuhradenia dlžnej sumy v lehote uvedenej v upomienke podľa čl. IV. ods. 5 Zmluvy, ktorá nie je kratšia ako sedem dní, je PMDS oprávnený vypovedať túto Zmluvu a postupovať podľa § 36 vyhlášky č. 24/2013 </w:t>
      </w:r>
      <w:proofErr w:type="spellStart"/>
      <w:r w:rsidRPr="002676B6">
        <w:rPr>
          <w:sz w:val="22"/>
          <w:szCs w:val="22"/>
        </w:rPr>
        <w:t>Z.z</w:t>
      </w:r>
      <w:proofErr w:type="spellEnd"/>
      <w:r w:rsidRPr="002676B6">
        <w:rPr>
          <w:sz w:val="22"/>
          <w:szCs w:val="22"/>
        </w:rPr>
        <w:t>. PMDS zoberie výpoveď späť, ak Dodávateľ elektriny uhradí všetky svoje záväzky skôr, ako dôjde k záväznému oznámeniu o začatí dodávky poslednej inštancie PMDS podľa osobitného predpisu. Výpovedná lehota začína plynúť od prvého dňa kalendárneho mesiaca nasledujúceho po doručení výpovede.</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Za deň doručenia výzvy Dodávateľovi elektriny sa považuje deň doručenia kópie výzvy elektronicky alebo faxom. Za doručenie výzvy v elektronickej podobe alebo faxom sa považuje, ak výzva bola zo strany PMDS preukázateľne odoslaná na adresu, ktorú pre tento účel uviedol Dodávateľ elektriny v záhlaví tejto Zmluvy.</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lastRenderedPageBreak/>
        <w:t>V prípade podstatného porušenia Zmluvy zo strany PMDS môže Dodávateľ elektriny vypovedať Zmluvu, aj keď bola uzavretá na dobu určitú, s mesačnou výpovednou lehotou. Výpovedná lehota začína plynúť od prvého dňa kalendárneho mesiaca nasledujúceho po doručení výpovede.</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 xml:space="preserve">Zmluvné strany vyhlasujú a bez výhrad súhlasia, že táto Zmluva je vzájomne závislá so zmluvou o pripojení do distribučnej sústavy, ktorá je uzatvorená medzi PMDS a odberateľom elektriny, ktorý má uzatvorenú zmluvu o združenej dodávke elektriny s Dodávateľom elektriny do odberného miesta pripojeného do miestnej distribučnej sústavy, ktorú prevádzkuje PMDS. Uvedené zmluvy sú vzájomne závislé najmä svojim účelom </w:t>
      </w:r>
      <w:proofErr w:type="spellStart"/>
      <w:r w:rsidRPr="002676B6">
        <w:rPr>
          <w:sz w:val="22"/>
          <w:szCs w:val="22"/>
        </w:rPr>
        <w:t>tj</w:t>
      </w:r>
      <w:proofErr w:type="spellEnd"/>
      <w:r w:rsidRPr="002676B6">
        <w:rPr>
          <w:sz w:val="22"/>
          <w:szCs w:val="22"/>
        </w:rPr>
        <w:t>. distribúcia a/alebo dodávka elektriny. Uplynutím dňa, v ktorom zanikne zmluva o pripojení do distribučnej sústavy, zaniká aj táto Zmluva.</w:t>
      </w:r>
    </w:p>
    <w:p w:rsidR="009B496F" w:rsidRPr="002676B6" w:rsidRDefault="009B496F" w:rsidP="009B496F">
      <w:pPr>
        <w:pStyle w:val="Zkladntext2"/>
        <w:numPr>
          <w:ilvl w:val="1"/>
          <w:numId w:val="9"/>
        </w:numPr>
        <w:shd w:val="clear" w:color="auto" w:fill="auto"/>
        <w:tabs>
          <w:tab w:val="left" w:pos="567"/>
        </w:tabs>
        <w:spacing w:after="60" w:line="240" w:lineRule="auto"/>
        <w:ind w:left="567" w:right="1" w:hanging="567"/>
        <w:jc w:val="both"/>
        <w:rPr>
          <w:sz w:val="22"/>
          <w:szCs w:val="22"/>
        </w:rPr>
      </w:pPr>
      <w:r w:rsidRPr="002676B6">
        <w:rPr>
          <w:sz w:val="22"/>
          <w:szCs w:val="22"/>
        </w:rPr>
        <w:t>Pri ukončení alebo zániku Zmluvy informuje PMDS všetkých dotknutých účastníkov trhu o nemožnosti zabezpečiť prístup do distribučnej sústavy a distribúciu elektriny pre odberateľov elektriny príslušného Dodávateľa elektriny a informuje dotknutých odberateľov o skutočnosti, že od dátumu ukončenia alebo zániku Zmluvy sa stávajú odberateľmi v režime dodávky poslednej inštancie.</w:t>
      </w:r>
    </w:p>
    <w:p w:rsidR="009B496F" w:rsidRPr="002676B6" w:rsidRDefault="009B496F" w:rsidP="009B496F">
      <w:pPr>
        <w:spacing w:after="60" w:line="240" w:lineRule="auto"/>
        <w:ind w:left="567" w:right="1" w:hanging="567"/>
        <w:rPr>
          <w:rFonts w:ascii="Times New Roman" w:hAnsi="Times New Roman" w:cs="Times New Roman"/>
        </w:rPr>
      </w:pPr>
    </w:p>
    <w:p w:rsidR="009B496F" w:rsidRDefault="009B496F" w:rsidP="009B496F">
      <w:pPr>
        <w:pStyle w:val="Hlavikaalebopta0"/>
        <w:numPr>
          <w:ilvl w:val="0"/>
          <w:numId w:val="2"/>
        </w:numPr>
        <w:shd w:val="clear" w:color="auto" w:fill="auto"/>
        <w:spacing w:after="60" w:line="240" w:lineRule="auto"/>
        <w:ind w:left="567" w:right="1" w:hanging="567"/>
        <w:rPr>
          <w:sz w:val="22"/>
          <w:szCs w:val="22"/>
        </w:rPr>
      </w:pPr>
      <w:r>
        <w:rPr>
          <w:sz w:val="22"/>
          <w:szCs w:val="22"/>
        </w:rPr>
        <w:t>Osobitné</w:t>
      </w:r>
      <w:r w:rsidRPr="002676B6">
        <w:rPr>
          <w:sz w:val="22"/>
          <w:szCs w:val="22"/>
        </w:rPr>
        <w:t xml:space="preserve"> ustanovenia</w:t>
      </w:r>
    </w:p>
    <w:p w:rsidR="009B496F" w:rsidRPr="002676B6" w:rsidRDefault="009B496F" w:rsidP="009B496F">
      <w:pPr>
        <w:pStyle w:val="Hlavikaalebopta0"/>
        <w:shd w:val="clear" w:color="auto" w:fill="auto"/>
        <w:spacing w:after="60" w:line="240" w:lineRule="auto"/>
        <w:ind w:left="567" w:right="1"/>
        <w:rPr>
          <w:sz w:val="22"/>
          <w:szCs w:val="22"/>
        </w:rPr>
      </w:pPr>
    </w:p>
    <w:p w:rsidR="009B496F" w:rsidRPr="002676B6" w:rsidRDefault="009B496F" w:rsidP="009B496F">
      <w:pPr>
        <w:pStyle w:val="Zkladntext2"/>
        <w:numPr>
          <w:ilvl w:val="1"/>
          <w:numId w:val="10"/>
        </w:numPr>
        <w:shd w:val="clear" w:color="auto" w:fill="auto"/>
        <w:tabs>
          <w:tab w:val="left" w:pos="567"/>
        </w:tabs>
        <w:spacing w:after="60" w:line="240" w:lineRule="auto"/>
        <w:ind w:left="567" w:right="1" w:hanging="567"/>
        <w:jc w:val="both"/>
        <w:rPr>
          <w:sz w:val="22"/>
          <w:szCs w:val="22"/>
        </w:rPr>
      </w:pPr>
      <w:r w:rsidRPr="002676B6">
        <w:rPr>
          <w:sz w:val="22"/>
          <w:szCs w:val="22"/>
        </w:rPr>
        <w:t>Zmluva sa uzatvára najmenej 15 pracovných dní pred dňom zahájenia prístupu do distribučnej sústavy a distribúcie elektriny pre odberné miesta, ktoré sú pripojené do miestnej distribučnej sústavy PMDS a do ktorých Dodávateľ elektriny plánuje dodávať elektrinu na základe Zmluvy o združenej dodávke elektriny a po splnení všetkých podmienok daných Technickými podmienkami PMDS a Prevádzkovým poriadkom PMDS.</w:t>
      </w:r>
    </w:p>
    <w:p w:rsidR="009B496F" w:rsidRPr="002676B6" w:rsidRDefault="009B496F" w:rsidP="009B496F">
      <w:pPr>
        <w:pStyle w:val="Zkladntext2"/>
        <w:numPr>
          <w:ilvl w:val="1"/>
          <w:numId w:val="10"/>
        </w:numPr>
        <w:shd w:val="clear" w:color="auto" w:fill="auto"/>
        <w:tabs>
          <w:tab w:val="left" w:pos="567"/>
        </w:tabs>
        <w:spacing w:after="60" w:line="240" w:lineRule="auto"/>
        <w:ind w:left="567" w:right="1" w:hanging="567"/>
        <w:jc w:val="both"/>
        <w:rPr>
          <w:sz w:val="22"/>
          <w:szCs w:val="22"/>
        </w:rPr>
      </w:pPr>
      <w:r w:rsidRPr="002676B6">
        <w:rPr>
          <w:sz w:val="22"/>
          <w:szCs w:val="22"/>
        </w:rPr>
        <w:t>Ak návrh na uzavretie Zmluvy podáva Dodávateľ elektriny, proti ktorému eviduje PMDS pohľadávky po lehote splatnosti alebo ak tento Dodávateľ elektriny je s dlžníkom PMDS prepojenou osobou podľa osobitného predpisu, môže PMDS podmieniť uzatvorenie Zmluvy zaplatením pohľadávok zo strany žiadateľa alebo dlžníka.</w:t>
      </w:r>
    </w:p>
    <w:p w:rsidR="009B496F" w:rsidRPr="002676B6" w:rsidRDefault="009B496F" w:rsidP="009B496F">
      <w:pPr>
        <w:pStyle w:val="Zkladntext2"/>
        <w:numPr>
          <w:ilvl w:val="1"/>
          <w:numId w:val="10"/>
        </w:numPr>
        <w:shd w:val="clear" w:color="auto" w:fill="auto"/>
        <w:tabs>
          <w:tab w:val="left" w:pos="567"/>
        </w:tabs>
        <w:spacing w:after="60" w:line="240" w:lineRule="auto"/>
        <w:ind w:left="567" w:right="1" w:hanging="567"/>
        <w:jc w:val="both"/>
        <w:rPr>
          <w:sz w:val="22"/>
          <w:szCs w:val="22"/>
        </w:rPr>
      </w:pPr>
      <w:r w:rsidRPr="002676B6">
        <w:rPr>
          <w:sz w:val="22"/>
          <w:szCs w:val="22"/>
        </w:rPr>
        <w:t>Reklamácie sa riadia ustanoveniami podľa Prevádzkového poriadku prevádzkovateľa miestnej distribučnej sústavy.</w:t>
      </w:r>
    </w:p>
    <w:p w:rsidR="009B496F" w:rsidRPr="002676B6" w:rsidRDefault="009B496F" w:rsidP="009B496F">
      <w:pPr>
        <w:spacing w:after="60" w:line="240" w:lineRule="auto"/>
        <w:ind w:left="567" w:right="1" w:hanging="567"/>
        <w:rPr>
          <w:rFonts w:ascii="Times New Roman" w:hAnsi="Times New Roman" w:cs="Times New Roman"/>
        </w:rPr>
      </w:pPr>
    </w:p>
    <w:p w:rsidR="009B496F" w:rsidRDefault="009B496F" w:rsidP="009B496F">
      <w:pPr>
        <w:pStyle w:val="Zkladntext2"/>
        <w:numPr>
          <w:ilvl w:val="0"/>
          <w:numId w:val="2"/>
        </w:numPr>
        <w:shd w:val="clear" w:color="auto" w:fill="auto"/>
        <w:spacing w:after="60" w:line="240" w:lineRule="auto"/>
        <w:ind w:left="567" w:right="1" w:hanging="567"/>
        <w:jc w:val="left"/>
        <w:rPr>
          <w:b/>
          <w:sz w:val="22"/>
          <w:szCs w:val="22"/>
        </w:rPr>
      </w:pPr>
      <w:r w:rsidRPr="002676B6">
        <w:rPr>
          <w:b/>
          <w:sz w:val="22"/>
          <w:szCs w:val="22"/>
        </w:rPr>
        <w:t>Záverečné ustanovenia</w:t>
      </w:r>
    </w:p>
    <w:p w:rsidR="009B496F" w:rsidRPr="002676B6" w:rsidRDefault="009B496F" w:rsidP="009B496F">
      <w:pPr>
        <w:pStyle w:val="Zkladntext2"/>
        <w:shd w:val="clear" w:color="auto" w:fill="auto"/>
        <w:spacing w:after="60" w:line="240" w:lineRule="auto"/>
        <w:ind w:left="567" w:right="1" w:firstLine="0"/>
        <w:jc w:val="left"/>
        <w:rPr>
          <w:b/>
          <w:sz w:val="22"/>
          <w:szCs w:val="22"/>
        </w:rPr>
      </w:pPr>
    </w:p>
    <w:p w:rsidR="009B496F" w:rsidRPr="002676B6" w:rsidRDefault="009B496F" w:rsidP="009B496F">
      <w:pPr>
        <w:pStyle w:val="Zkladntext2"/>
        <w:numPr>
          <w:ilvl w:val="1"/>
          <w:numId w:val="11"/>
        </w:numPr>
        <w:shd w:val="clear" w:color="auto" w:fill="auto"/>
        <w:tabs>
          <w:tab w:val="left" w:pos="567"/>
          <w:tab w:val="left" w:pos="6823"/>
        </w:tabs>
        <w:spacing w:after="60" w:line="240" w:lineRule="auto"/>
        <w:ind w:left="567" w:right="1" w:hanging="567"/>
        <w:jc w:val="both"/>
        <w:rPr>
          <w:sz w:val="22"/>
          <w:szCs w:val="22"/>
        </w:rPr>
      </w:pPr>
      <w:r w:rsidRPr="002676B6">
        <w:rPr>
          <w:sz w:val="22"/>
          <w:szCs w:val="22"/>
        </w:rPr>
        <w:t xml:space="preserve">Táto Zmluva nadobúda účinnosť </w:t>
      </w:r>
      <w:r w:rsidRPr="00E70862">
        <w:rPr>
          <w:sz w:val="22"/>
          <w:szCs w:val="22"/>
        </w:rPr>
        <w:t xml:space="preserve">dňa </w:t>
      </w:r>
      <w:r w:rsidRPr="009670EF">
        <w:rPr>
          <w:sz w:val="22"/>
          <w:szCs w:val="22"/>
          <w:highlight w:val="yellow"/>
        </w:rPr>
        <w:t>0</w:t>
      </w:r>
      <w:r>
        <w:rPr>
          <w:sz w:val="22"/>
          <w:szCs w:val="22"/>
          <w:highlight w:val="yellow"/>
        </w:rPr>
        <w:t>0</w:t>
      </w:r>
      <w:r w:rsidRPr="009670EF">
        <w:rPr>
          <w:sz w:val="22"/>
          <w:szCs w:val="22"/>
          <w:highlight w:val="yellow"/>
        </w:rPr>
        <w:t>.0</w:t>
      </w:r>
      <w:r>
        <w:rPr>
          <w:sz w:val="22"/>
          <w:szCs w:val="22"/>
          <w:highlight w:val="yellow"/>
        </w:rPr>
        <w:t>0</w:t>
      </w:r>
      <w:r w:rsidRPr="009670EF">
        <w:rPr>
          <w:sz w:val="22"/>
          <w:szCs w:val="22"/>
          <w:highlight w:val="yellow"/>
        </w:rPr>
        <w:t>.20</w:t>
      </w:r>
      <w:r w:rsidR="000504B9">
        <w:rPr>
          <w:sz w:val="22"/>
          <w:szCs w:val="22"/>
        </w:rPr>
        <w:t>17</w:t>
      </w:r>
      <w:r w:rsidRPr="00E70862">
        <w:rPr>
          <w:sz w:val="22"/>
          <w:szCs w:val="22"/>
        </w:rPr>
        <w:t>.</w:t>
      </w:r>
    </w:p>
    <w:p w:rsidR="009B496F" w:rsidRPr="002676B6" w:rsidRDefault="009B496F" w:rsidP="009B496F">
      <w:pPr>
        <w:pStyle w:val="Zkladntext2"/>
        <w:numPr>
          <w:ilvl w:val="1"/>
          <w:numId w:val="11"/>
        </w:numPr>
        <w:shd w:val="clear" w:color="auto" w:fill="auto"/>
        <w:tabs>
          <w:tab w:val="left" w:pos="567"/>
          <w:tab w:val="left" w:pos="6823"/>
        </w:tabs>
        <w:spacing w:after="60" w:line="240" w:lineRule="auto"/>
        <w:ind w:left="567" w:right="1" w:hanging="567"/>
        <w:jc w:val="both"/>
        <w:rPr>
          <w:sz w:val="22"/>
          <w:szCs w:val="22"/>
        </w:rPr>
      </w:pPr>
      <w:r w:rsidRPr="002676B6">
        <w:rPr>
          <w:sz w:val="22"/>
          <w:szCs w:val="22"/>
        </w:rPr>
        <w:t>Túto Zmluvu je možné zmeniť len na základe písomnej dohody obidvoch Zmluvných strán.</w:t>
      </w:r>
    </w:p>
    <w:p w:rsidR="009B496F" w:rsidRPr="002676B6" w:rsidRDefault="009B496F" w:rsidP="009B496F">
      <w:pPr>
        <w:pStyle w:val="Zkladntext2"/>
        <w:numPr>
          <w:ilvl w:val="1"/>
          <w:numId w:val="11"/>
        </w:numPr>
        <w:shd w:val="clear" w:color="auto" w:fill="auto"/>
        <w:tabs>
          <w:tab w:val="left" w:pos="567"/>
        </w:tabs>
        <w:spacing w:after="60" w:line="240" w:lineRule="auto"/>
        <w:ind w:left="567" w:right="1" w:hanging="567"/>
        <w:jc w:val="both"/>
        <w:rPr>
          <w:sz w:val="22"/>
          <w:szCs w:val="22"/>
        </w:rPr>
      </w:pPr>
      <w:r w:rsidRPr="002676B6">
        <w:rPr>
          <w:sz w:val="22"/>
          <w:szCs w:val="22"/>
        </w:rPr>
        <w:t xml:space="preserve">Táto Zmluva sa riadi právnym poriadkom Slovenskej republiky. Práva a povinnosti, ktoré nie sú upravené touto Zmluvou sa spravujú ustanoveniami prílohy č. 9 vyhlášky č. 24/2013 </w:t>
      </w:r>
      <w:proofErr w:type="spellStart"/>
      <w:r w:rsidRPr="002676B6">
        <w:rPr>
          <w:sz w:val="22"/>
          <w:szCs w:val="22"/>
        </w:rPr>
        <w:t>Z.z</w:t>
      </w:r>
      <w:proofErr w:type="spellEnd"/>
      <w:r w:rsidRPr="002676B6">
        <w:rPr>
          <w:sz w:val="22"/>
          <w:szCs w:val="22"/>
        </w:rPr>
        <w:t>.</w:t>
      </w:r>
    </w:p>
    <w:p w:rsidR="009B496F" w:rsidRPr="002676B6" w:rsidRDefault="009B496F" w:rsidP="009B496F">
      <w:pPr>
        <w:pStyle w:val="Zkladntext2"/>
        <w:numPr>
          <w:ilvl w:val="1"/>
          <w:numId w:val="11"/>
        </w:numPr>
        <w:shd w:val="clear" w:color="auto" w:fill="auto"/>
        <w:tabs>
          <w:tab w:val="left" w:pos="567"/>
        </w:tabs>
        <w:spacing w:after="60" w:line="240" w:lineRule="auto"/>
        <w:ind w:left="567" w:right="1" w:hanging="567"/>
        <w:jc w:val="both"/>
        <w:rPr>
          <w:sz w:val="22"/>
          <w:szCs w:val="22"/>
        </w:rPr>
      </w:pPr>
      <w:r w:rsidRPr="002676B6">
        <w:rPr>
          <w:sz w:val="22"/>
          <w:szCs w:val="22"/>
        </w:rPr>
        <w:t xml:space="preserve">Zmluvné strany sa zaväzujú, že budú chrániť a utajovať pred tretími osobami dôverné informácie. Žiadna zo Zmluvných strán bez písomného súhlasu druhej Zmluvnej strany neposkytne informácie o obsahu tejto Zmluvy s výnimkou verejne publikovaných informácii, a to ani v čiastkovom rozsahu tretej strane s výnimkou osôb ovládajúcich a osôb ovládaných rovnakou ovládajúcou osobou. Rovnakým spôsobom budú strany chrániť dôverné informácie a skutočnosti tvoriace obchodné tajomstvo tretej osoby, ktoré boli touto treťou stranou niektorej zo 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w:t>
      </w:r>
      <w:r w:rsidRPr="002676B6">
        <w:rPr>
          <w:sz w:val="22"/>
          <w:szCs w:val="22"/>
        </w:rPr>
        <w:lastRenderedPageBreak/>
        <w:t>organizátorovi krátkodobého trhu s elektrinou a podobne.</w:t>
      </w:r>
    </w:p>
    <w:p w:rsidR="009B496F" w:rsidRPr="002676B6" w:rsidRDefault="009B496F" w:rsidP="009B496F">
      <w:pPr>
        <w:pStyle w:val="Zkladntext2"/>
        <w:numPr>
          <w:ilvl w:val="1"/>
          <w:numId w:val="11"/>
        </w:numPr>
        <w:shd w:val="clear" w:color="auto" w:fill="auto"/>
        <w:tabs>
          <w:tab w:val="left" w:pos="567"/>
          <w:tab w:val="left" w:pos="1442"/>
        </w:tabs>
        <w:spacing w:after="60" w:line="240" w:lineRule="auto"/>
        <w:ind w:left="567" w:right="1" w:hanging="567"/>
        <w:jc w:val="both"/>
        <w:rPr>
          <w:sz w:val="22"/>
          <w:szCs w:val="22"/>
        </w:rPr>
      </w:pPr>
      <w:r w:rsidRPr="002676B6">
        <w:rPr>
          <w:sz w:val="22"/>
          <w:szCs w:val="22"/>
        </w:rPr>
        <w:t>Neoddeliteľnú súčasť tejto Zmluvy tvorí príloha: Vzor zoznamu odberných miest, ktoré sú pripojené do miestnej distribučnej sústavy PMDS a do ktorých Dodávateľ elektriny plánuje dodávať elektrinu na základe zmluvy o združenej dodávke elektriny</w:t>
      </w:r>
    </w:p>
    <w:p w:rsidR="009B496F" w:rsidRPr="002676B6" w:rsidRDefault="009B496F" w:rsidP="009B496F">
      <w:pPr>
        <w:pStyle w:val="Zkladntext2"/>
        <w:numPr>
          <w:ilvl w:val="1"/>
          <w:numId w:val="11"/>
        </w:numPr>
        <w:shd w:val="clear" w:color="auto" w:fill="auto"/>
        <w:tabs>
          <w:tab w:val="left" w:pos="567"/>
        </w:tabs>
        <w:spacing w:after="60" w:line="240" w:lineRule="auto"/>
        <w:ind w:left="567" w:right="1" w:hanging="567"/>
        <w:jc w:val="both"/>
        <w:rPr>
          <w:sz w:val="22"/>
          <w:szCs w:val="22"/>
        </w:rPr>
      </w:pPr>
      <w:r w:rsidRPr="002676B6">
        <w:rPr>
          <w:sz w:val="22"/>
          <w:szCs w:val="22"/>
        </w:rPr>
        <w:t>Zmluva je vyhotovená v 2 exemplároch, z ktorých každá Zmluvná strana</w:t>
      </w:r>
      <w:r>
        <w:rPr>
          <w:sz w:val="22"/>
          <w:szCs w:val="22"/>
        </w:rPr>
        <w:t xml:space="preserve"> </w:t>
      </w:r>
      <w:r w:rsidRPr="002676B6">
        <w:rPr>
          <w:sz w:val="22"/>
          <w:szCs w:val="22"/>
        </w:rPr>
        <w:t>obdrží</w:t>
      </w:r>
      <w:r>
        <w:rPr>
          <w:sz w:val="22"/>
          <w:szCs w:val="22"/>
        </w:rPr>
        <w:t xml:space="preserve"> </w:t>
      </w:r>
      <w:r w:rsidRPr="002676B6">
        <w:rPr>
          <w:sz w:val="22"/>
          <w:szCs w:val="22"/>
        </w:rPr>
        <w:t>1</w:t>
      </w:r>
      <w:r>
        <w:rPr>
          <w:sz w:val="22"/>
          <w:szCs w:val="22"/>
        </w:rPr>
        <w:t xml:space="preserve"> </w:t>
      </w:r>
      <w:r w:rsidRPr="002676B6">
        <w:rPr>
          <w:sz w:val="22"/>
          <w:szCs w:val="22"/>
        </w:rPr>
        <w:t>(jedno)</w:t>
      </w:r>
      <w:r>
        <w:rPr>
          <w:sz w:val="22"/>
          <w:szCs w:val="22"/>
        </w:rPr>
        <w:t xml:space="preserve"> </w:t>
      </w:r>
      <w:r w:rsidRPr="002676B6">
        <w:rPr>
          <w:sz w:val="22"/>
          <w:szCs w:val="22"/>
        </w:rPr>
        <w:t>vyhotovenie.</w:t>
      </w:r>
    </w:p>
    <w:p w:rsidR="009B496F" w:rsidRPr="002676B6" w:rsidRDefault="009B496F" w:rsidP="009B496F">
      <w:pPr>
        <w:pStyle w:val="Zkladntext2"/>
        <w:numPr>
          <w:ilvl w:val="1"/>
          <w:numId w:val="11"/>
        </w:numPr>
        <w:shd w:val="clear" w:color="auto" w:fill="auto"/>
        <w:tabs>
          <w:tab w:val="left" w:pos="567"/>
        </w:tabs>
        <w:spacing w:after="60" w:line="240" w:lineRule="auto"/>
        <w:ind w:left="567" w:right="1" w:hanging="567"/>
        <w:jc w:val="both"/>
        <w:rPr>
          <w:sz w:val="22"/>
          <w:szCs w:val="22"/>
        </w:rPr>
      </w:pPr>
      <w:r w:rsidRPr="002676B6">
        <w:rPr>
          <w:sz w:val="22"/>
          <w:szCs w:val="22"/>
        </w:rPr>
        <w:t>Ak sú alebo sa stanú niektoré ustanovenia tejto Zmluvy neúčinné alebo nevykonateľné, ostávajú ostatné ustanovenia Zmluvy týmto nedotknuté. Zmluvné strany v takomto prípade nahradia neúčinné alebo nevykonateľné ustanovenie iným ustanovením, obsahovo a účelom najviac podobným.</w:t>
      </w:r>
    </w:p>
    <w:p w:rsidR="009B496F" w:rsidRPr="002676B6" w:rsidRDefault="009B496F" w:rsidP="009B496F">
      <w:pPr>
        <w:pStyle w:val="Zkladntext0"/>
        <w:ind w:left="567" w:hanging="567"/>
        <w:rPr>
          <w:bCs/>
          <w:sz w:val="22"/>
          <w:szCs w:val="22"/>
        </w:rPr>
      </w:pPr>
    </w:p>
    <w:p w:rsidR="009B496F" w:rsidRPr="002676B6" w:rsidRDefault="009B496F" w:rsidP="009B496F">
      <w:pPr>
        <w:spacing w:after="0" w:line="240" w:lineRule="auto"/>
        <w:ind w:left="142" w:right="141"/>
        <w:rPr>
          <w:rFonts w:ascii="Times New Roman" w:hAnsi="Times New Roman" w:cs="Times New Roman"/>
        </w:rPr>
      </w:pPr>
    </w:p>
    <w:tbl>
      <w:tblPr>
        <w:tblW w:w="0" w:type="auto"/>
        <w:tblLook w:val="04A0" w:firstRow="1" w:lastRow="0" w:firstColumn="1" w:lastColumn="0" w:noHBand="0" w:noVBand="1"/>
      </w:tblPr>
      <w:tblGrid>
        <w:gridCol w:w="7054"/>
        <w:gridCol w:w="5528"/>
      </w:tblGrid>
      <w:tr w:rsidR="009B496F" w:rsidRPr="002676B6" w:rsidTr="008B31AB">
        <w:tc>
          <w:tcPr>
            <w:tcW w:w="7054" w:type="dxa"/>
            <w:shd w:val="clear" w:color="auto" w:fill="auto"/>
          </w:tcPr>
          <w:p w:rsidR="009B496F" w:rsidRPr="002676B6" w:rsidRDefault="009B496F" w:rsidP="008B31AB">
            <w:pPr>
              <w:jc w:val="both"/>
              <w:rPr>
                <w:rFonts w:ascii="Times New Roman" w:hAnsi="Times New Roman" w:cs="Times New Roman"/>
                <w:b/>
              </w:rPr>
            </w:pPr>
            <w:r w:rsidRPr="002676B6">
              <w:rPr>
                <w:rFonts w:ascii="Times New Roman" w:hAnsi="Times New Roman" w:cs="Times New Roman"/>
                <w:b/>
              </w:rPr>
              <w:t>PMDS:</w:t>
            </w:r>
          </w:p>
          <w:p w:rsidR="009B496F" w:rsidRPr="002676B6" w:rsidRDefault="009B496F" w:rsidP="008B31AB">
            <w:pPr>
              <w:jc w:val="both"/>
              <w:rPr>
                <w:rFonts w:ascii="Times New Roman" w:hAnsi="Times New Roman" w:cs="Times New Roman"/>
                <w:b/>
              </w:rPr>
            </w:pPr>
          </w:p>
        </w:tc>
        <w:tc>
          <w:tcPr>
            <w:tcW w:w="5528" w:type="dxa"/>
            <w:shd w:val="clear" w:color="auto" w:fill="auto"/>
          </w:tcPr>
          <w:p w:rsidR="009B496F" w:rsidRPr="002676B6" w:rsidRDefault="009B496F" w:rsidP="008B31AB">
            <w:pPr>
              <w:jc w:val="both"/>
              <w:rPr>
                <w:rFonts w:ascii="Times New Roman" w:hAnsi="Times New Roman" w:cs="Times New Roman"/>
                <w:b/>
              </w:rPr>
            </w:pPr>
            <w:r w:rsidRPr="002676B6">
              <w:rPr>
                <w:rFonts w:ascii="Times New Roman" w:hAnsi="Times New Roman" w:cs="Times New Roman"/>
                <w:b/>
              </w:rPr>
              <w:t>Dodávateľ elektriny</w:t>
            </w:r>
            <w:r>
              <w:rPr>
                <w:rFonts w:ascii="Times New Roman" w:hAnsi="Times New Roman" w:cs="Times New Roman"/>
                <w:b/>
              </w:rPr>
              <w:t>:</w:t>
            </w:r>
          </w:p>
        </w:tc>
      </w:tr>
      <w:tr w:rsidR="009B496F" w:rsidRPr="002676B6" w:rsidTr="008B31AB">
        <w:tc>
          <w:tcPr>
            <w:tcW w:w="7054" w:type="dxa"/>
            <w:shd w:val="clear" w:color="auto" w:fill="auto"/>
          </w:tcPr>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V </w:t>
            </w:r>
            <w:r>
              <w:rPr>
                <w:rFonts w:ascii="Times New Roman" w:hAnsi="Times New Roman" w:cs="Times New Roman"/>
              </w:rPr>
              <w:t>Bratislave,</w:t>
            </w:r>
            <w:r w:rsidRPr="002676B6">
              <w:rPr>
                <w:rFonts w:ascii="Times New Roman" w:hAnsi="Times New Roman" w:cs="Times New Roman"/>
              </w:rPr>
              <w:t xml:space="preserve"> dňa ________ 201</w:t>
            </w:r>
            <w:r w:rsidR="000504B9">
              <w:rPr>
                <w:rFonts w:ascii="Times New Roman" w:hAnsi="Times New Roman" w:cs="Times New Roman"/>
              </w:rPr>
              <w:t>7</w:t>
            </w:r>
          </w:p>
        </w:tc>
        <w:tc>
          <w:tcPr>
            <w:tcW w:w="5528" w:type="dxa"/>
            <w:shd w:val="clear" w:color="auto" w:fill="auto"/>
          </w:tcPr>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V </w:t>
            </w:r>
            <w:r>
              <w:rPr>
                <w:rFonts w:ascii="Times New Roman" w:hAnsi="Times New Roman" w:cs="Times New Roman"/>
              </w:rPr>
              <w:t>Bratislave,</w:t>
            </w:r>
            <w:r w:rsidRPr="002676B6">
              <w:rPr>
                <w:rFonts w:ascii="Times New Roman" w:hAnsi="Times New Roman" w:cs="Times New Roman"/>
              </w:rPr>
              <w:t xml:space="preserve"> dňa ________ 201</w:t>
            </w:r>
            <w:r w:rsidR="000504B9">
              <w:rPr>
                <w:rFonts w:ascii="Times New Roman" w:hAnsi="Times New Roman" w:cs="Times New Roman"/>
              </w:rPr>
              <w:t>7</w:t>
            </w:r>
          </w:p>
        </w:tc>
      </w:tr>
      <w:tr w:rsidR="009B496F" w:rsidRPr="002676B6" w:rsidTr="008B31AB">
        <w:tc>
          <w:tcPr>
            <w:tcW w:w="7054" w:type="dxa"/>
            <w:shd w:val="clear" w:color="auto" w:fill="auto"/>
          </w:tcPr>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_____________________________</w:t>
            </w:r>
          </w:p>
          <w:p w:rsidR="009B496F" w:rsidRPr="002676B6" w:rsidRDefault="009B496F" w:rsidP="008B31AB">
            <w:pPr>
              <w:pStyle w:val="NormalNoSpace"/>
            </w:pPr>
            <w:r>
              <w:t>konateľ</w:t>
            </w:r>
          </w:p>
        </w:tc>
        <w:tc>
          <w:tcPr>
            <w:tcW w:w="5528" w:type="dxa"/>
            <w:shd w:val="clear" w:color="auto" w:fill="auto"/>
          </w:tcPr>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_____________________________</w:t>
            </w:r>
          </w:p>
          <w:p w:rsidR="009B496F" w:rsidRPr="000504B9" w:rsidRDefault="009B496F" w:rsidP="008B31AB">
            <w:pPr>
              <w:pStyle w:val="NormalNoSpace"/>
              <w:rPr>
                <w:rStyle w:val="MissingEntryUndo"/>
              </w:rPr>
            </w:pPr>
            <w:r w:rsidRPr="000504B9">
              <w:rPr>
                <w:rStyle w:val="MissingEntryUndo"/>
                <w:b/>
              </w:rPr>
              <w:t>[obchodné meno spoločnosti]</w:t>
            </w:r>
          </w:p>
          <w:p w:rsidR="009B496F" w:rsidRPr="000504B9" w:rsidRDefault="009B496F" w:rsidP="008B31AB">
            <w:pPr>
              <w:pStyle w:val="NormalNoSpace"/>
              <w:rPr>
                <w:rStyle w:val="MissingEntryUndo"/>
              </w:rPr>
            </w:pPr>
            <w:r w:rsidRPr="000504B9">
              <w:rPr>
                <w:rStyle w:val="MissingEntryUndo"/>
              </w:rPr>
              <w:t>[meno oprávneného zástupcu]</w:t>
            </w:r>
          </w:p>
          <w:p w:rsidR="009B496F" w:rsidRPr="002676B6" w:rsidRDefault="009B496F" w:rsidP="008B31AB">
            <w:pPr>
              <w:pStyle w:val="NormalNoSpace"/>
              <w:rPr>
                <w:rStyle w:val="MissingEntryUndo"/>
              </w:rPr>
            </w:pPr>
            <w:r w:rsidRPr="000504B9">
              <w:rPr>
                <w:rStyle w:val="MissingEntryUndo"/>
              </w:rPr>
              <w:t>[funkcia]</w:t>
            </w:r>
          </w:p>
        </w:tc>
      </w:tr>
    </w:tbl>
    <w:p w:rsidR="009B496F" w:rsidRPr="002676B6" w:rsidRDefault="009B496F" w:rsidP="009B496F">
      <w:pPr>
        <w:ind w:left="142" w:right="141"/>
        <w:rPr>
          <w:rFonts w:ascii="Times New Roman" w:hAnsi="Times New Roman" w:cs="Times New Roman"/>
        </w:rPr>
      </w:pPr>
    </w:p>
    <w:tbl>
      <w:tblPr>
        <w:tblW w:w="0" w:type="auto"/>
        <w:tblLook w:val="04A0" w:firstRow="1" w:lastRow="0" w:firstColumn="1" w:lastColumn="0" w:noHBand="0" w:noVBand="1"/>
      </w:tblPr>
      <w:tblGrid>
        <w:gridCol w:w="7054"/>
        <w:gridCol w:w="5528"/>
      </w:tblGrid>
      <w:tr w:rsidR="009B496F" w:rsidRPr="002676B6" w:rsidTr="008B31AB">
        <w:tc>
          <w:tcPr>
            <w:tcW w:w="7054" w:type="dxa"/>
            <w:shd w:val="clear" w:color="auto" w:fill="auto"/>
          </w:tcPr>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_____________________________</w:t>
            </w:r>
          </w:p>
          <w:p w:rsidR="009B496F" w:rsidRPr="002676B6" w:rsidRDefault="009B496F" w:rsidP="008B31AB">
            <w:pPr>
              <w:pStyle w:val="NormalNoSpace"/>
            </w:pPr>
            <w:bookmarkStart w:id="0" w:name="_GoBack"/>
            <w:bookmarkEnd w:id="0"/>
            <w:r>
              <w:t>konateľ</w:t>
            </w:r>
          </w:p>
        </w:tc>
        <w:tc>
          <w:tcPr>
            <w:tcW w:w="5528" w:type="dxa"/>
            <w:shd w:val="clear" w:color="auto" w:fill="auto"/>
          </w:tcPr>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p>
          <w:p w:rsidR="009B496F" w:rsidRPr="002676B6" w:rsidRDefault="009B496F" w:rsidP="008B31AB">
            <w:pPr>
              <w:jc w:val="both"/>
              <w:rPr>
                <w:rFonts w:ascii="Times New Roman" w:hAnsi="Times New Roman" w:cs="Times New Roman"/>
              </w:rPr>
            </w:pPr>
            <w:r w:rsidRPr="002676B6">
              <w:rPr>
                <w:rFonts w:ascii="Times New Roman" w:hAnsi="Times New Roman" w:cs="Times New Roman"/>
              </w:rPr>
              <w:t>_____________________________</w:t>
            </w:r>
          </w:p>
          <w:p w:rsidR="009B496F" w:rsidRPr="000504B9" w:rsidRDefault="009B496F" w:rsidP="008B31AB">
            <w:pPr>
              <w:pStyle w:val="NormalNoSpace"/>
              <w:rPr>
                <w:rStyle w:val="MissingEntryUndo"/>
              </w:rPr>
            </w:pPr>
            <w:r w:rsidRPr="000504B9">
              <w:rPr>
                <w:rStyle w:val="MissingEntryUndo"/>
                <w:b/>
              </w:rPr>
              <w:t>[obchodné meno spoločnosti]</w:t>
            </w:r>
          </w:p>
          <w:p w:rsidR="009B496F" w:rsidRPr="000504B9" w:rsidRDefault="009B496F" w:rsidP="008B31AB">
            <w:pPr>
              <w:pStyle w:val="NormalNoSpace"/>
              <w:rPr>
                <w:rStyle w:val="MissingEntryUndo"/>
              </w:rPr>
            </w:pPr>
            <w:r w:rsidRPr="000504B9">
              <w:rPr>
                <w:rStyle w:val="MissingEntryUndo"/>
              </w:rPr>
              <w:t>[meno oprávneného zástupcu]</w:t>
            </w:r>
          </w:p>
          <w:p w:rsidR="009B496F" w:rsidRDefault="009B496F" w:rsidP="008B31AB">
            <w:pPr>
              <w:pStyle w:val="NormalNoSpace"/>
              <w:rPr>
                <w:rStyle w:val="MissingEntryUndo"/>
              </w:rPr>
            </w:pPr>
            <w:r w:rsidRPr="000504B9">
              <w:rPr>
                <w:rStyle w:val="MissingEntryUndo"/>
              </w:rPr>
              <w:t>[funkcia]</w:t>
            </w:r>
          </w:p>
          <w:p w:rsidR="009B496F" w:rsidRDefault="009B496F" w:rsidP="008B31AB">
            <w:pPr>
              <w:pStyle w:val="NormalNoSpace"/>
              <w:rPr>
                <w:rStyle w:val="MissingEntryUndo"/>
              </w:rPr>
            </w:pPr>
          </w:p>
          <w:p w:rsidR="009B496F" w:rsidRPr="002676B6" w:rsidRDefault="009B496F" w:rsidP="008B31AB">
            <w:pPr>
              <w:pStyle w:val="NormalNoSpace"/>
              <w:rPr>
                <w:rStyle w:val="MissingEntryUndo"/>
              </w:rPr>
            </w:pPr>
          </w:p>
        </w:tc>
      </w:tr>
    </w:tbl>
    <w:p w:rsidR="009B496F" w:rsidRPr="000F0AB1" w:rsidRDefault="009B496F" w:rsidP="009B496F">
      <w:pPr>
        <w:pStyle w:val="Hlavikaalebopta0"/>
        <w:shd w:val="clear" w:color="auto" w:fill="auto"/>
        <w:spacing w:line="240" w:lineRule="auto"/>
        <w:ind w:left="142" w:right="142"/>
        <w:rPr>
          <w:sz w:val="22"/>
          <w:szCs w:val="22"/>
        </w:rPr>
      </w:pPr>
      <w:r w:rsidRPr="002676B6">
        <w:rPr>
          <w:sz w:val="22"/>
          <w:szCs w:val="22"/>
        </w:rPr>
        <w:lastRenderedPageBreak/>
        <w:t>Príloha č. 1</w:t>
      </w:r>
      <w:r>
        <w:rPr>
          <w:sz w:val="22"/>
          <w:szCs w:val="22"/>
        </w:rPr>
        <w:t xml:space="preserve"> k Rámcovej distribučnej zmluve medzi  .........</w:t>
      </w:r>
      <w:r w:rsidRPr="00715C82">
        <w:rPr>
          <w:sz w:val="22"/>
          <w:szCs w:val="22"/>
          <w:highlight w:val="yellow"/>
        </w:rPr>
        <w:t>[●]</w:t>
      </w:r>
      <w:r w:rsidRPr="000F0AB1" w:rsidDel="00425275">
        <w:rPr>
          <w:sz w:val="22"/>
          <w:szCs w:val="22"/>
        </w:rPr>
        <w:t xml:space="preserve"> </w:t>
      </w:r>
    </w:p>
    <w:p w:rsidR="009B496F" w:rsidRPr="002676B6" w:rsidRDefault="009B496F" w:rsidP="009B496F">
      <w:pPr>
        <w:spacing w:after="0" w:line="240" w:lineRule="auto"/>
        <w:ind w:left="142" w:right="142"/>
        <w:rPr>
          <w:rFonts w:ascii="Times New Roman" w:hAnsi="Times New Roman" w:cs="Times New Roman"/>
        </w:rPr>
      </w:pPr>
    </w:p>
    <w:p w:rsidR="009B496F" w:rsidRPr="002676B6" w:rsidRDefault="009B496F" w:rsidP="009B496F">
      <w:pPr>
        <w:pStyle w:val="Zkladntext2"/>
        <w:shd w:val="clear" w:color="auto" w:fill="auto"/>
        <w:spacing w:line="240" w:lineRule="auto"/>
        <w:ind w:left="142" w:right="142" w:firstLine="0"/>
        <w:jc w:val="both"/>
        <w:rPr>
          <w:sz w:val="22"/>
          <w:szCs w:val="22"/>
        </w:rPr>
      </w:pPr>
      <w:r w:rsidRPr="002676B6">
        <w:rPr>
          <w:sz w:val="22"/>
          <w:szCs w:val="22"/>
        </w:rPr>
        <w:t xml:space="preserve">Vzor zoznamu odberných miest, ktoré sú pripojené do miestnej distribučnej sústavy </w:t>
      </w:r>
      <w:r>
        <w:rPr>
          <w:sz w:val="22"/>
          <w:szCs w:val="22"/>
        </w:rPr>
        <w:t>P</w:t>
      </w:r>
      <w:r w:rsidRPr="002676B6">
        <w:rPr>
          <w:sz w:val="22"/>
          <w:szCs w:val="22"/>
        </w:rPr>
        <w:t>MDS</w:t>
      </w:r>
      <w:r>
        <w:rPr>
          <w:sz w:val="22"/>
          <w:szCs w:val="22"/>
        </w:rPr>
        <w:t>,</w:t>
      </w:r>
      <w:r w:rsidRPr="002676B6">
        <w:rPr>
          <w:sz w:val="22"/>
          <w:szCs w:val="22"/>
        </w:rPr>
        <w:t xml:space="preserve"> a do ktorých Dodávateľ elektriny plánuje dodávať elektrinu na základe Zmluvy o združenej dodávke elektriny</w:t>
      </w:r>
      <w:r>
        <w:rPr>
          <w:sz w:val="22"/>
          <w:szCs w:val="22"/>
        </w:rPr>
        <w:t>:</w:t>
      </w:r>
    </w:p>
    <w:p w:rsidR="009B496F" w:rsidRPr="002676B6" w:rsidRDefault="009B496F" w:rsidP="009B496F">
      <w:pPr>
        <w:spacing w:after="0" w:line="240" w:lineRule="auto"/>
        <w:ind w:left="142" w:right="142"/>
        <w:rPr>
          <w:rFonts w:ascii="Times New Roman" w:hAnsi="Times New Roman" w:cs="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2537"/>
        <w:gridCol w:w="1417"/>
        <w:gridCol w:w="1418"/>
        <w:gridCol w:w="1417"/>
        <w:gridCol w:w="1418"/>
        <w:gridCol w:w="1701"/>
        <w:gridCol w:w="1984"/>
        <w:gridCol w:w="1560"/>
      </w:tblGrid>
      <w:tr w:rsidR="009B496F" w:rsidRPr="002676B6" w:rsidTr="008B31AB">
        <w:trPr>
          <w:trHeight w:hRule="exact" w:val="1195"/>
        </w:trPr>
        <w:tc>
          <w:tcPr>
            <w:tcW w:w="2537"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Názov a adresa odberného miesta</w:t>
            </w:r>
          </w:p>
        </w:tc>
        <w:tc>
          <w:tcPr>
            <w:tcW w:w="1417"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EIC</w:t>
            </w:r>
          </w:p>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kód</w:t>
            </w:r>
          </w:p>
        </w:tc>
        <w:tc>
          <w:tcPr>
            <w:tcW w:w="1418"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Napäťová</w:t>
            </w:r>
          </w:p>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úroveň</w:t>
            </w:r>
          </w:p>
        </w:tc>
        <w:tc>
          <w:tcPr>
            <w:tcW w:w="1417"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Typ</w:t>
            </w:r>
          </w:p>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merania</w:t>
            </w:r>
          </w:p>
        </w:tc>
        <w:tc>
          <w:tcPr>
            <w:tcW w:w="1418"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Priradený</w:t>
            </w:r>
          </w:p>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TDO</w:t>
            </w:r>
          </w:p>
        </w:tc>
        <w:tc>
          <w:tcPr>
            <w:tcW w:w="1701"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Periodicita</w:t>
            </w:r>
          </w:p>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odpočtu</w:t>
            </w:r>
          </w:p>
        </w:tc>
        <w:tc>
          <w:tcPr>
            <w:tcW w:w="1984" w:type="dxa"/>
            <w:tcBorders>
              <w:top w:val="single" w:sz="4" w:space="0" w:color="auto"/>
              <w:lef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Maximálna</w:t>
            </w:r>
          </w:p>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rezervovaná</w:t>
            </w:r>
          </w:p>
          <w:p w:rsidR="009B496F" w:rsidRPr="002676B6" w:rsidRDefault="009B496F" w:rsidP="008B31AB">
            <w:pPr>
              <w:pStyle w:val="Zkladntext2"/>
              <w:shd w:val="clear" w:color="auto" w:fill="auto"/>
              <w:spacing w:before="60" w:line="240" w:lineRule="auto"/>
              <w:ind w:left="142" w:right="142" w:firstLine="0"/>
              <w:jc w:val="left"/>
              <w:rPr>
                <w:sz w:val="22"/>
                <w:szCs w:val="22"/>
              </w:rPr>
            </w:pPr>
            <w:r w:rsidRPr="002676B6">
              <w:rPr>
                <w:rStyle w:val="Zkladntext1"/>
                <w:sz w:val="22"/>
                <w:szCs w:val="22"/>
              </w:rPr>
              <w:t>kapacita</w:t>
            </w: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pStyle w:val="Zkladntext2"/>
              <w:shd w:val="clear" w:color="auto" w:fill="auto"/>
              <w:spacing w:before="60" w:line="240" w:lineRule="auto"/>
              <w:ind w:left="142" w:right="142" w:firstLine="0"/>
              <w:rPr>
                <w:sz w:val="22"/>
                <w:szCs w:val="22"/>
              </w:rPr>
            </w:pPr>
            <w:r w:rsidRPr="002676B6">
              <w:rPr>
                <w:rStyle w:val="Zkladntext1"/>
                <w:sz w:val="22"/>
                <w:szCs w:val="22"/>
              </w:rPr>
              <w:t>Konštanta merania (ak je iná ako 1)</w:t>
            </w:r>
          </w:p>
        </w:tc>
      </w:tr>
      <w:tr w:rsidR="009B496F" w:rsidRPr="002676B6" w:rsidTr="008B31AB">
        <w:trPr>
          <w:trHeight w:hRule="exact" w:val="398"/>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4"/>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4"/>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8"/>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4"/>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8"/>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4"/>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394"/>
        </w:trPr>
        <w:tc>
          <w:tcPr>
            <w:tcW w:w="253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r w:rsidR="009B496F" w:rsidRPr="002676B6" w:rsidTr="008B31AB">
        <w:trPr>
          <w:trHeight w:hRule="exact" w:val="408"/>
        </w:trPr>
        <w:tc>
          <w:tcPr>
            <w:tcW w:w="2537"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7"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984" w:type="dxa"/>
            <w:tcBorders>
              <w:top w:val="single" w:sz="4" w:space="0" w:color="auto"/>
              <w:left w:val="single" w:sz="4" w:space="0" w:color="auto"/>
              <w:bottom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B496F" w:rsidRPr="002676B6" w:rsidRDefault="009B496F" w:rsidP="008B31AB">
            <w:pPr>
              <w:ind w:left="142" w:right="141"/>
              <w:rPr>
                <w:rFonts w:ascii="Times New Roman" w:hAnsi="Times New Roman" w:cs="Times New Roman"/>
              </w:rPr>
            </w:pPr>
          </w:p>
        </w:tc>
      </w:tr>
    </w:tbl>
    <w:p w:rsidR="009B496F" w:rsidRPr="002676B6" w:rsidRDefault="009B496F" w:rsidP="009B496F">
      <w:pPr>
        <w:ind w:left="142" w:right="141"/>
        <w:rPr>
          <w:rFonts w:ascii="Times New Roman" w:hAnsi="Times New Roman" w:cs="Times New Roman"/>
        </w:rPr>
      </w:pPr>
    </w:p>
    <w:p w:rsidR="00DA2D33" w:rsidRDefault="00DA2D33"/>
    <w:sectPr w:rsidR="00DA2D33" w:rsidSect="00F6789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3F" w:rsidRDefault="0061613F">
      <w:pPr>
        <w:spacing w:after="0" w:line="240" w:lineRule="auto"/>
      </w:pPr>
      <w:r>
        <w:separator/>
      </w:r>
    </w:p>
  </w:endnote>
  <w:endnote w:type="continuationSeparator" w:id="0">
    <w:p w:rsidR="0061613F" w:rsidRDefault="0061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523787"/>
      <w:docPartObj>
        <w:docPartGallery w:val="Page Numbers (Bottom of Page)"/>
        <w:docPartUnique/>
      </w:docPartObj>
    </w:sdtPr>
    <w:sdtEndPr>
      <w:rPr>
        <w:rFonts w:ascii="Arial" w:hAnsi="Arial" w:cs="Arial"/>
        <w:sz w:val="16"/>
        <w:szCs w:val="16"/>
      </w:rPr>
    </w:sdtEndPr>
    <w:sdtContent>
      <w:p w:rsidR="00AB36F2" w:rsidRPr="00AB36F2" w:rsidRDefault="000504B9">
        <w:pPr>
          <w:pStyle w:val="Pta"/>
          <w:jc w:val="center"/>
          <w:rPr>
            <w:rFonts w:ascii="Arial" w:hAnsi="Arial" w:cs="Arial"/>
            <w:sz w:val="16"/>
            <w:szCs w:val="16"/>
          </w:rPr>
        </w:pPr>
        <w:r w:rsidRPr="00AB36F2">
          <w:rPr>
            <w:rFonts w:ascii="Arial" w:hAnsi="Arial" w:cs="Arial"/>
            <w:sz w:val="16"/>
            <w:szCs w:val="16"/>
          </w:rPr>
          <w:fldChar w:fldCharType="begin"/>
        </w:r>
        <w:r w:rsidRPr="00AB36F2">
          <w:rPr>
            <w:rFonts w:ascii="Arial" w:hAnsi="Arial" w:cs="Arial"/>
            <w:sz w:val="16"/>
            <w:szCs w:val="16"/>
          </w:rPr>
          <w:instrText>PAGE   \* MERGEFORMAT</w:instrText>
        </w:r>
        <w:r w:rsidRPr="00AB36F2">
          <w:rPr>
            <w:rFonts w:ascii="Arial" w:hAnsi="Arial" w:cs="Arial"/>
            <w:sz w:val="16"/>
            <w:szCs w:val="16"/>
          </w:rPr>
          <w:fldChar w:fldCharType="separate"/>
        </w:r>
        <w:r w:rsidR="001F5F95">
          <w:rPr>
            <w:rFonts w:ascii="Arial" w:hAnsi="Arial" w:cs="Arial"/>
            <w:noProof/>
            <w:sz w:val="16"/>
            <w:szCs w:val="16"/>
          </w:rPr>
          <w:t>8</w:t>
        </w:r>
        <w:r w:rsidRPr="00AB36F2">
          <w:rPr>
            <w:rFonts w:ascii="Arial" w:hAnsi="Arial" w:cs="Arial"/>
            <w:sz w:val="16"/>
            <w:szCs w:val="16"/>
          </w:rPr>
          <w:fldChar w:fldCharType="end"/>
        </w:r>
      </w:p>
    </w:sdtContent>
  </w:sdt>
  <w:p w:rsidR="00AB36F2" w:rsidRDefault="006161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3F" w:rsidRDefault="0061613F">
      <w:pPr>
        <w:spacing w:after="0" w:line="240" w:lineRule="auto"/>
      </w:pPr>
      <w:r>
        <w:separator/>
      </w:r>
    </w:p>
  </w:footnote>
  <w:footnote w:type="continuationSeparator" w:id="0">
    <w:p w:rsidR="0061613F" w:rsidRDefault="00616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6BCA"/>
    <w:multiLevelType w:val="multilevel"/>
    <w:tmpl w:val="CC64BB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E0143"/>
    <w:multiLevelType w:val="multilevel"/>
    <w:tmpl w:val="397238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8F32B2"/>
    <w:multiLevelType w:val="multilevel"/>
    <w:tmpl w:val="114CF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C80C2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E314DB"/>
    <w:multiLevelType w:val="multilevel"/>
    <w:tmpl w:val="8CFC26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D460D3E"/>
    <w:multiLevelType w:val="multilevel"/>
    <w:tmpl w:val="6996FE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4177EF"/>
    <w:multiLevelType w:val="multilevel"/>
    <w:tmpl w:val="BF26C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C110B8A"/>
    <w:multiLevelType w:val="multilevel"/>
    <w:tmpl w:val="D8722A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1103B6A"/>
    <w:multiLevelType w:val="multilevel"/>
    <w:tmpl w:val="3176C8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724A84"/>
    <w:multiLevelType w:val="multilevel"/>
    <w:tmpl w:val="F7309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CB30E4"/>
    <w:multiLevelType w:val="multilevel"/>
    <w:tmpl w:val="9EBE7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0"/>
  </w:num>
  <w:num w:numId="5">
    <w:abstractNumId w:val="6"/>
  </w:num>
  <w:num w:numId="6">
    <w:abstractNumId w:val="4"/>
  </w:num>
  <w:num w:numId="7">
    <w:abstractNumId w:val="5"/>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6F"/>
    <w:rsid w:val="000504B9"/>
    <w:rsid w:val="001F5F95"/>
    <w:rsid w:val="0061613F"/>
    <w:rsid w:val="009B496F"/>
    <w:rsid w:val="00DA2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3F6C"/>
  <w15:chartTrackingRefBased/>
  <w15:docId w15:val="{6BCF83AC-B53F-47C0-A290-626B9F6D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B496F"/>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
    <w:name w:val="Hlavička alebo päta_"/>
    <w:basedOn w:val="Predvolenpsmoodseku"/>
    <w:link w:val="Hlavikaalebopta0"/>
    <w:rsid w:val="009B496F"/>
    <w:rPr>
      <w:rFonts w:ascii="Times New Roman" w:eastAsia="Times New Roman" w:hAnsi="Times New Roman" w:cs="Times New Roman"/>
      <w:b/>
      <w:bCs/>
      <w:spacing w:val="5"/>
      <w:sz w:val="19"/>
      <w:szCs w:val="19"/>
      <w:shd w:val="clear" w:color="auto" w:fill="FFFFFF"/>
    </w:rPr>
  </w:style>
  <w:style w:type="paragraph" w:customStyle="1" w:styleId="Hlavikaalebopta0">
    <w:name w:val="Hlavička alebo päta"/>
    <w:basedOn w:val="Normlny"/>
    <w:link w:val="Hlavikaalebopta"/>
    <w:rsid w:val="009B496F"/>
    <w:pPr>
      <w:widowControl w:val="0"/>
      <w:shd w:val="clear" w:color="auto" w:fill="FFFFFF"/>
      <w:spacing w:after="0" w:line="0" w:lineRule="atLeast"/>
    </w:pPr>
    <w:rPr>
      <w:rFonts w:ascii="Times New Roman" w:eastAsia="Times New Roman" w:hAnsi="Times New Roman" w:cs="Times New Roman"/>
      <w:b/>
      <w:bCs/>
      <w:spacing w:val="5"/>
      <w:sz w:val="19"/>
      <w:szCs w:val="19"/>
    </w:rPr>
  </w:style>
  <w:style w:type="character" w:customStyle="1" w:styleId="Zkladntext">
    <w:name w:val="Základný text_"/>
    <w:basedOn w:val="Predvolenpsmoodseku"/>
    <w:link w:val="Zkladntext2"/>
    <w:rsid w:val="009B496F"/>
    <w:rPr>
      <w:rFonts w:ascii="Times New Roman" w:eastAsia="Times New Roman" w:hAnsi="Times New Roman" w:cs="Times New Roman"/>
      <w:spacing w:val="1"/>
      <w:sz w:val="19"/>
      <w:szCs w:val="19"/>
      <w:shd w:val="clear" w:color="auto" w:fill="FFFFFF"/>
    </w:rPr>
  </w:style>
  <w:style w:type="paragraph" w:customStyle="1" w:styleId="Zkladntext2">
    <w:name w:val="Základný text2"/>
    <w:basedOn w:val="Normlny"/>
    <w:link w:val="Zkladntext"/>
    <w:rsid w:val="009B496F"/>
    <w:pPr>
      <w:widowControl w:val="0"/>
      <w:shd w:val="clear" w:color="auto" w:fill="FFFFFF"/>
      <w:spacing w:after="0" w:line="259" w:lineRule="exact"/>
      <w:ind w:hanging="360"/>
      <w:jc w:val="center"/>
    </w:pPr>
    <w:rPr>
      <w:rFonts w:ascii="Times New Roman" w:eastAsia="Times New Roman" w:hAnsi="Times New Roman" w:cs="Times New Roman"/>
      <w:spacing w:val="1"/>
      <w:sz w:val="19"/>
      <w:szCs w:val="19"/>
    </w:rPr>
  </w:style>
  <w:style w:type="character" w:customStyle="1" w:styleId="Zkladntext1">
    <w:name w:val="Základný text1"/>
    <w:basedOn w:val="Zkladntext"/>
    <w:rsid w:val="009B496F"/>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sk-SK"/>
    </w:rPr>
  </w:style>
  <w:style w:type="table" w:styleId="Mriekatabuky">
    <w:name w:val="Table Grid"/>
    <w:basedOn w:val="Normlnatabuka"/>
    <w:uiPriority w:val="39"/>
    <w:rsid w:val="009B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 No Space"/>
    <w:basedOn w:val="Normlny"/>
    <w:qFormat/>
    <w:rsid w:val="009B496F"/>
    <w:pPr>
      <w:spacing w:after="0" w:line="240" w:lineRule="auto"/>
      <w:jc w:val="both"/>
    </w:pPr>
    <w:rPr>
      <w:rFonts w:ascii="Times New Roman" w:eastAsia="Calibri" w:hAnsi="Times New Roman" w:cs="Times New Roman"/>
    </w:rPr>
  </w:style>
  <w:style w:type="character" w:customStyle="1" w:styleId="MissingEntryUndo">
    <w:name w:val="Missing Entry Undo"/>
    <w:uiPriority w:val="1"/>
    <w:qFormat/>
    <w:rsid w:val="009B496F"/>
    <w:rPr>
      <w:lang w:val="sk-SK"/>
    </w:rPr>
  </w:style>
  <w:style w:type="paragraph" w:styleId="Zkladntext0">
    <w:name w:val="Body Text"/>
    <w:basedOn w:val="Normlny"/>
    <w:link w:val="ZkladntextChar"/>
    <w:rsid w:val="009B496F"/>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0"/>
    <w:rsid w:val="009B496F"/>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9B496F"/>
    <w:pPr>
      <w:tabs>
        <w:tab w:val="center" w:pos="4536"/>
        <w:tab w:val="right" w:pos="9072"/>
      </w:tabs>
      <w:spacing w:after="0" w:line="240" w:lineRule="auto"/>
    </w:pPr>
  </w:style>
  <w:style w:type="character" w:customStyle="1" w:styleId="PtaChar">
    <w:name w:val="Päta Char"/>
    <w:basedOn w:val="Predvolenpsmoodseku"/>
    <w:link w:val="Pta"/>
    <w:uiPriority w:val="99"/>
    <w:rsid w:val="009B4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2545</Words>
  <Characters>14507</Characters>
  <Application>Microsoft Office Word</Application>
  <DocSecurity>0</DocSecurity>
  <Lines>120</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Gregorová</dc:creator>
  <cp:keywords/>
  <dc:description/>
  <cp:lastModifiedBy>beata.gregorova</cp:lastModifiedBy>
  <cp:revision>3</cp:revision>
  <dcterms:created xsi:type="dcterms:W3CDTF">2017-01-11T18:17:00Z</dcterms:created>
  <dcterms:modified xsi:type="dcterms:W3CDTF">2017-10-31T10:19:00Z</dcterms:modified>
</cp:coreProperties>
</file>